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C8" w:rsidRPr="006879C3" w:rsidRDefault="00486556" w:rsidP="006879C3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6879C3">
        <w:rPr>
          <w:rFonts w:asciiTheme="majorEastAsia" w:eastAsiaTheme="majorEastAsia" w:hAnsiTheme="majorEastAsia" w:hint="eastAsia"/>
          <w:sz w:val="22"/>
        </w:rPr>
        <w:t>富山県家庭的養護推進計画の見直しについて</w:t>
      </w:r>
    </w:p>
    <w:p w:rsidR="00486556" w:rsidRPr="006879C3" w:rsidRDefault="00B4748B" w:rsidP="006879C3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厚生部</w:t>
      </w:r>
      <w:r w:rsidR="00486556" w:rsidRPr="006879C3">
        <w:rPr>
          <w:rFonts w:asciiTheme="majorEastAsia" w:eastAsiaTheme="majorEastAsia" w:hAnsiTheme="majorEastAsia" w:hint="eastAsia"/>
          <w:sz w:val="22"/>
        </w:rPr>
        <w:t>子ども支援課</w:t>
      </w:r>
    </w:p>
    <w:p w:rsidR="00486556" w:rsidRPr="006879C3" w:rsidRDefault="00486556">
      <w:pPr>
        <w:rPr>
          <w:rFonts w:asciiTheme="majorEastAsia" w:eastAsiaTheme="majorEastAsia" w:hAnsiTheme="majorEastAsia"/>
          <w:sz w:val="22"/>
        </w:rPr>
      </w:pPr>
    </w:p>
    <w:p w:rsidR="00486556" w:rsidRPr="006879C3" w:rsidRDefault="00486556">
      <w:pPr>
        <w:rPr>
          <w:rFonts w:asciiTheme="majorEastAsia" w:eastAsiaTheme="majorEastAsia" w:hAnsiTheme="majorEastAsia"/>
          <w:sz w:val="22"/>
        </w:rPr>
      </w:pPr>
      <w:r w:rsidRPr="006879C3">
        <w:rPr>
          <w:rFonts w:asciiTheme="majorEastAsia" w:eastAsiaTheme="majorEastAsia" w:hAnsiTheme="majorEastAsia" w:hint="eastAsia"/>
          <w:sz w:val="22"/>
        </w:rPr>
        <w:t>１　経緯</w:t>
      </w:r>
    </w:p>
    <w:p w:rsidR="00486556" w:rsidRPr="006879C3" w:rsidRDefault="00486556" w:rsidP="006879C3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6879C3">
        <w:rPr>
          <w:rFonts w:asciiTheme="majorEastAsia" w:eastAsiaTheme="majorEastAsia" w:hAnsiTheme="majorEastAsia" w:hint="eastAsia"/>
          <w:sz w:val="22"/>
        </w:rPr>
        <w:t>・</w:t>
      </w:r>
      <w:r w:rsidR="006879C3" w:rsidRPr="006879C3">
        <w:rPr>
          <w:rFonts w:asciiTheme="majorEastAsia" w:eastAsiaTheme="majorEastAsia" w:hAnsiTheme="majorEastAsia" w:hint="eastAsia"/>
          <w:sz w:val="22"/>
        </w:rPr>
        <w:t>平成28年3月、</w:t>
      </w:r>
      <w:r w:rsidR="00CA5520" w:rsidRPr="006879C3">
        <w:rPr>
          <w:rFonts w:asciiTheme="majorEastAsia" w:eastAsiaTheme="majorEastAsia" w:hAnsiTheme="majorEastAsia" w:hint="eastAsia"/>
          <w:sz w:val="22"/>
        </w:rPr>
        <w:t>「</w:t>
      </w:r>
      <w:r w:rsidRPr="006879C3">
        <w:rPr>
          <w:rFonts w:asciiTheme="majorEastAsia" w:eastAsiaTheme="majorEastAsia" w:hAnsiTheme="majorEastAsia" w:hint="eastAsia"/>
          <w:sz w:val="22"/>
        </w:rPr>
        <w:t>富山県家庭的養護推進計画</w:t>
      </w:r>
      <w:r w:rsidR="00CA5520" w:rsidRPr="006879C3">
        <w:rPr>
          <w:rFonts w:asciiTheme="majorEastAsia" w:eastAsiaTheme="majorEastAsia" w:hAnsiTheme="majorEastAsia" w:hint="eastAsia"/>
          <w:sz w:val="22"/>
        </w:rPr>
        <w:t>」</w:t>
      </w:r>
      <w:r w:rsidR="006879C3" w:rsidRPr="006879C3">
        <w:rPr>
          <w:rFonts w:asciiTheme="majorEastAsia" w:eastAsiaTheme="majorEastAsia" w:hAnsiTheme="majorEastAsia" w:hint="eastAsia"/>
          <w:sz w:val="22"/>
        </w:rPr>
        <w:t>を策定</w:t>
      </w:r>
      <w:r w:rsidR="00CA5520" w:rsidRPr="006879C3">
        <w:rPr>
          <w:rFonts w:asciiTheme="majorEastAsia" w:eastAsiaTheme="majorEastAsia" w:hAnsiTheme="majorEastAsia" w:hint="eastAsia"/>
          <w:sz w:val="22"/>
        </w:rPr>
        <w:t>（平成27年度</w:t>
      </w:r>
      <w:r w:rsidR="006879C3" w:rsidRPr="006879C3">
        <w:rPr>
          <w:rFonts w:asciiTheme="majorEastAsia" w:eastAsiaTheme="majorEastAsia" w:hAnsiTheme="majorEastAsia" w:hint="eastAsia"/>
          <w:sz w:val="22"/>
        </w:rPr>
        <w:t>～</w:t>
      </w:r>
      <w:r w:rsidR="00CA5520" w:rsidRPr="006879C3">
        <w:rPr>
          <w:rFonts w:asciiTheme="majorEastAsia" w:eastAsiaTheme="majorEastAsia" w:hAnsiTheme="majorEastAsia" w:hint="eastAsia"/>
          <w:sz w:val="22"/>
        </w:rPr>
        <w:t>41年度）</w:t>
      </w:r>
    </w:p>
    <w:p w:rsidR="00CA5520" w:rsidRPr="006879C3" w:rsidRDefault="00CA5520" w:rsidP="006879C3">
      <w:pPr>
        <w:ind w:leftChars="100" w:left="650" w:hangingChars="200" w:hanging="440"/>
        <w:rPr>
          <w:rFonts w:asciiTheme="majorEastAsia" w:eastAsiaTheme="majorEastAsia" w:hAnsiTheme="majorEastAsia"/>
          <w:sz w:val="22"/>
        </w:rPr>
      </w:pPr>
      <w:r w:rsidRPr="006879C3">
        <w:rPr>
          <w:rFonts w:asciiTheme="majorEastAsia" w:eastAsiaTheme="majorEastAsia" w:hAnsiTheme="majorEastAsia" w:hint="eastAsia"/>
          <w:sz w:val="22"/>
        </w:rPr>
        <w:t xml:space="preserve">　（計画の目標：里親及びファミリーホーム、グループホーム、児童養護施設等の本体施設の割合が概ね3分の1ずつとなることを目指す）</w:t>
      </w:r>
    </w:p>
    <w:p w:rsidR="00CA5520" w:rsidRPr="006879C3" w:rsidRDefault="00486556" w:rsidP="006879C3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6879C3">
        <w:rPr>
          <w:rFonts w:asciiTheme="majorEastAsia" w:eastAsiaTheme="majorEastAsia" w:hAnsiTheme="majorEastAsia" w:hint="eastAsia"/>
          <w:sz w:val="22"/>
        </w:rPr>
        <w:t>・平成28年</w:t>
      </w:r>
      <w:r w:rsidR="00CA5520" w:rsidRPr="006879C3">
        <w:rPr>
          <w:rFonts w:asciiTheme="majorEastAsia" w:eastAsiaTheme="majorEastAsia" w:hAnsiTheme="majorEastAsia" w:hint="eastAsia"/>
          <w:sz w:val="22"/>
        </w:rPr>
        <w:t>児童福祉法等の一部を改正する法律において、子どもが権利の主体であることが位置づけられるとともに、子どもの家庭養育優先原則が明記された</w:t>
      </w:r>
    </w:p>
    <w:p w:rsidR="00486556" w:rsidRPr="006879C3" w:rsidRDefault="00CA5520" w:rsidP="006879C3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6879C3">
        <w:rPr>
          <w:rFonts w:asciiTheme="majorEastAsia" w:eastAsiaTheme="majorEastAsia" w:hAnsiTheme="majorEastAsia" w:hint="eastAsia"/>
          <w:sz w:val="22"/>
        </w:rPr>
        <w:t>・平成29年8月</w:t>
      </w:r>
      <w:r w:rsidR="00486556" w:rsidRPr="006879C3">
        <w:rPr>
          <w:rFonts w:asciiTheme="majorEastAsia" w:eastAsiaTheme="majorEastAsia" w:hAnsiTheme="majorEastAsia" w:hint="eastAsia"/>
          <w:sz w:val="22"/>
        </w:rPr>
        <w:t>「新しい社会的養育ビジョン」</w:t>
      </w:r>
      <w:r w:rsidRPr="006879C3">
        <w:rPr>
          <w:rFonts w:asciiTheme="majorEastAsia" w:eastAsiaTheme="majorEastAsia" w:hAnsiTheme="majorEastAsia" w:hint="eastAsia"/>
          <w:sz w:val="22"/>
        </w:rPr>
        <w:t>（</w:t>
      </w:r>
      <w:r w:rsidR="004F5159" w:rsidRPr="006879C3">
        <w:rPr>
          <w:rFonts w:asciiTheme="majorEastAsia" w:eastAsiaTheme="majorEastAsia" w:hAnsiTheme="majorEastAsia" w:hint="eastAsia"/>
          <w:sz w:val="22"/>
        </w:rPr>
        <w:t>国</w:t>
      </w:r>
      <w:r w:rsidR="00940DAF">
        <w:rPr>
          <w:rFonts w:asciiTheme="majorEastAsia" w:eastAsiaTheme="majorEastAsia" w:hAnsiTheme="majorEastAsia" w:hint="eastAsia"/>
          <w:sz w:val="22"/>
        </w:rPr>
        <w:t>の</w:t>
      </w:r>
      <w:r w:rsidR="004F5159" w:rsidRPr="006879C3">
        <w:rPr>
          <w:rFonts w:asciiTheme="majorEastAsia" w:eastAsiaTheme="majorEastAsia" w:hAnsiTheme="majorEastAsia" w:hint="eastAsia"/>
          <w:sz w:val="22"/>
        </w:rPr>
        <w:t>「</w:t>
      </w:r>
      <w:r w:rsidRPr="006879C3">
        <w:rPr>
          <w:rFonts w:asciiTheme="majorEastAsia" w:eastAsiaTheme="majorEastAsia" w:hAnsiTheme="majorEastAsia" w:hint="eastAsia"/>
          <w:sz w:val="22"/>
        </w:rPr>
        <w:t>新たな社会的養育の在り方に関する検討会</w:t>
      </w:r>
      <w:r w:rsidR="004F5159" w:rsidRPr="006879C3">
        <w:rPr>
          <w:rFonts w:asciiTheme="majorEastAsia" w:eastAsiaTheme="majorEastAsia" w:hAnsiTheme="majorEastAsia" w:hint="eastAsia"/>
          <w:sz w:val="22"/>
        </w:rPr>
        <w:t>」</w:t>
      </w:r>
      <w:r w:rsidRPr="006879C3">
        <w:rPr>
          <w:rFonts w:asciiTheme="majorEastAsia" w:eastAsiaTheme="majorEastAsia" w:hAnsiTheme="majorEastAsia" w:hint="eastAsia"/>
          <w:sz w:val="22"/>
        </w:rPr>
        <w:t>）がとりまとめられた</w:t>
      </w:r>
    </w:p>
    <w:p w:rsidR="00CA5520" w:rsidRPr="006879C3" w:rsidRDefault="00D655D3" w:rsidP="006879C3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6609E" wp14:editId="79857120">
                <wp:simplePos x="0" y="0"/>
                <wp:positionH relativeFrom="column">
                  <wp:posOffset>3472815</wp:posOffset>
                </wp:positionH>
                <wp:positionV relativeFrom="paragraph">
                  <wp:posOffset>443865</wp:posOffset>
                </wp:positionV>
                <wp:extent cx="2514600" cy="962025"/>
                <wp:effectExtent l="628650" t="704850" r="19050" b="285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62025"/>
                        </a:xfrm>
                        <a:prstGeom prst="wedgeRectCallout">
                          <a:avLst>
                            <a:gd name="adj1" fmla="val -74452"/>
                            <a:gd name="adj2" fmla="val -12147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55D3" w:rsidRPr="00D655D3" w:rsidRDefault="00D655D3" w:rsidP="007D25B4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・3歳未満は概ね5年以内、それ以外の就学前の子どもは概ね7年以内に里親委託率75％以上を実現。学童期以降は概ね10年以内に里親委託率50％以上　等の目標が示された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273.45pt;margin-top:34.95pt;width:198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" adj="-5282,-15438" filled="f" strokecolor="black [3213]">
                <v:stroke dashstyle="dash"/>
                <v:textbox>
                  <w:txbxContent>
                    <w:p w:rsidR="00D655D3" w:rsidRPr="00D655D3" w:rsidRDefault="00D655D3" w:rsidP="007D25B4">
                      <w:pPr>
                        <w:spacing w:line="240" w:lineRule="exact"/>
                        <w:ind w:left="210" w:hangingChars="100" w:hanging="21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・3歳未満は概ね5年以内、それ以外の就学前の子どもは概ね7年以内に里親委託率75％以上を実現。学童期以降は概ね10年以内に里親委託率50％以上　等の目標が示された</w:t>
                      </w:r>
                    </w:p>
                  </w:txbxContent>
                </v:textbox>
              </v:shape>
            </w:pict>
          </mc:Fallback>
        </mc:AlternateContent>
      </w:r>
      <w:r w:rsidR="00CA5520" w:rsidRPr="006879C3">
        <w:rPr>
          <w:rFonts w:asciiTheme="majorEastAsia" w:eastAsiaTheme="majorEastAsia" w:hAnsiTheme="majorEastAsia" w:hint="eastAsia"/>
          <w:sz w:val="22"/>
        </w:rPr>
        <w:t>・平成30年7月</w:t>
      </w:r>
      <w:r w:rsidR="004F5159" w:rsidRPr="006879C3">
        <w:rPr>
          <w:rFonts w:asciiTheme="majorEastAsia" w:eastAsiaTheme="majorEastAsia" w:hAnsiTheme="majorEastAsia" w:hint="eastAsia"/>
          <w:sz w:val="22"/>
        </w:rPr>
        <w:t>、厚生労働省から</w:t>
      </w:r>
      <w:r w:rsidR="00CA5520" w:rsidRPr="006879C3">
        <w:rPr>
          <w:rFonts w:asciiTheme="majorEastAsia" w:eastAsiaTheme="majorEastAsia" w:hAnsiTheme="majorEastAsia" w:hint="eastAsia"/>
          <w:sz w:val="22"/>
        </w:rPr>
        <w:t>「都道府県</w:t>
      </w:r>
      <w:r w:rsidR="004F5159" w:rsidRPr="006879C3">
        <w:rPr>
          <w:rFonts w:asciiTheme="majorEastAsia" w:eastAsiaTheme="majorEastAsia" w:hAnsiTheme="majorEastAsia" w:hint="eastAsia"/>
          <w:sz w:val="22"/>
        </w:rPr>
        <w:t>社会的養育推進計画の</w:t>
      </w:r>
      <w:r w:rsidR="00CA5520" w:rsidRPr="006879C3">
        <w:rPr>
          <w:rFonts w:asciiTheme="majorEastAsia" w:eastAsiaTheme="majorEastAsia" w:hAnsiTheme="majorEastAsia" w:hint="eastAsia"/>
          <w:sz w:val="22"/>
        </w:rPr>
        <w:t>策定要領」が示さ</w:t>
      </w:r>
      <w:r w:rsidR="004F5159" w:rsidRPr="006879C3">
        <w:rPr>
          <w:rFonts w:asciiTheme="majorEastAsia" w:eastAsiaTheme="majorEastAsia" w:hAnsiTheme="majorEastAsia" w:hint="eastAsia"/>
          <w:sz w:val="22"/>
        </w:rPr>
        <w:t>れ、2019年度末までに新たな計画の策定が求められ</w:t>
      </w:r>
      <w:r w:rsidR="00940DAF">
        <w:rPr>
          <w:rFonts w:asciiTheme="majorEastAsia" w:eastAsiaTheme="majorEastAsia" w:hAnsiTheme="majorEastAsia" w:hint="eastAsia"/>
          <w:sz w:val="22"/>
        </w:rPr>
        <w:t>ている</w:t>
      </w:r>
    </w:p>
    <w:p w:rsidR="00486556" w:rsidRPr="006879C3" w:rsidRDefault="00486556">
      <w:pPr>
        <w:rPr>
          <w:rFonts w:asciiTheme="majorEastAsia" w:eastAsiaTheme="majorEastAsia" w:hAnsiTheme="majorEastAsia"/>
          <w:sz w:val="22"/>
        </w:rPr>
      </w:pPr>
    </w:p>
    <w:p w:rsidR="00486556" w:rsidRPr="006879C3" w:rsidRDefault="004F5159">
      <w:pPr>
        <w:rPr>
          <w:rFonts w:asciiTheme="majorEastAsia" w:eastAsiaTheme="majorEastAsia" w:hAnsiTheme="majorEastAsia"/>
          <w:sz w:val="22"/>
        </w:rPr>
      </w:pPr>
      <w:r w:rsidRPr="006879C3">
        <w:rPr>
          <w:rFonts w:asciiTheme="majorEastAsia" w:eastAsiaTheme="majorEastAsia" w:hAnsiTheme="majorEastAsia" w:hint="eastAsia"/>
          <w:sz w:val="22"/>
        </w:rPr>
        <w:t>２</w:t>
      </w:r>
      <w:r w:rsidR="00486556" w:rsidRPr="006879C3">
        <w:rPr>
          <w:rFonts w:asciiTheme="majorEastAsia" w:eastAsiaTheme="majorEastAsia" w:hAnsiTheme="majorEastAsia" w:hint="eastAsia"/>
          <w:sz w:val="22"/>
        </w:rPr>
        <w:t xml:space="preserve">　</w:t>
      </w:r>
      <w:r w:rsidRPr="006879C3">
        <w:rPr>
          <w:rFonts w:asciiTheme="majorEastAsia" w:eastAsiaTheme="majorEastAsia" w:hAnsiTheme="majorEastAsia" w:hint="eastAsia"/>
          <w:sz w:val="22"/>
        </w:rPr>
        <w:t>都道府県社会的養育推進計画の策定要領の概要</w:t>
      </w:r>
    </w:p>
    <w:p w:rsidR="004F5159" w:rsidRPr="006879C3" w:rsidRDefault="00A5235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（１</w:t>
      </w:r>
      <w:r w:rsidR="004F5159" w:rsidRPr="006879C3">
        <w:rPr>
          <w:rFonts w:asciiTheme="majorEastAsia" w:eastAsiaTheme="majorEastAsia" w:hAnsiTheme="majorEastAsia" w:hint="eastAsia"/>
          <w:sz w:val="22"/>
        </w:rPr>
        <w:t>）記載事項</w:t>
      </w:r>
    </w:p>
    <w:p w:rsidR="004F5159" w:rsidRPr="006879C3" w:rsidRDefault="007D25B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62865</wp:posOffset>
                </wp:positionV>
                <wp:extent cx="333375" cy="1695450"/>
                <wp:effectExtent l="0" t="0" r="28575" b="19050"/>
                <wp:wrapNone/>
                <wp:docPr id="4" name="左カーブ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95450"/>
                        </a:xfrm>
                        <a:prstGeom prst="curvedLeftArrow">
                          <a:avLst>
                            <a:gd name="adj1" fmla="val 57940"/>
                            <a:gd name="adj2" fmla="val 89568"/>
                            <a:gd name="adj3" fmla="val 22311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4" o:spid="_x0000_s1026" type="#_x0000_t103" style="position:absolute;left:0;text-align:left;margin-left:453.45pt;margin-top:4.95pt;width:26.25pt;height:1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" adj="17796,20928,4819" fillcolor="white [3212]" strokecolor="black [3213]" strokeweight="1pt"/>
            </w:pict>
          </mc:Fallback>
        </mc:AlternateContent>
      </w:r>
      <w:r w:rsidR="004F5159" w:rsidRPr="006879C3">
        <w:rPr>
          <w:rFonts w:asciiTheme="majorEastAsia" w:eastAsiaTheme="majorEastAsia" w:hAnsiTheme="majorEastAsia" w:hint="eastAsia"/>
          <w:sz w:val="22"/>
        </w:rPr>
        <w:t xml:space="preserve">　　　①　社会的養育の体制整備の基本的考え方</w:t>
      </w:r>
    </w:p>
    <w:p w:rsidR="004F5159" w:rsidRPr="006879C3" w:rsidRDefault="004F5159">
      <w:pPr>
        <w:rPr>
          <w:rFonts w:asciiTheme="majorEastAsia" w:eastAsiaTheme="majorEastAsia" w:hAnsiTheme="majorEastAsia"/>
          <w:sz w:val="22"/>
        </w:rPr>
      </w:pPr>
      <w:r w:rsidRPr="006879C3">
        <w:rPr>
          <w:rFonts w:asciiTheme="majorEastAsia" w:eastAsiaTheme="majorEastAsia" w:hAnsiTheme="majorEastAsia" w:hint="eastAsia"/>
          <w:sz w:val="22"/>
        </w:rPr>
        <w:t xml:space="preserve">　　　②　当事者である子どもの権利擁護の取組</w:t>
      </w:r>
    </w:p>
    <w:p w:rsidR="004F5159" w:rsidRPr="006879C3" w:rsidRDefault="004F5159">
      <w:pPr>
        <w:rPr>
          <w:rFonts w:asciiTheme="majorEastAsia" w:eastAsiaTheme="majorEastAsia" w:hAnsiTheme="majorEastAsia"/>
          <w:sz w:val="22"/>
        </w:rPr>
      </w:pPr>
      <w:r w:rsidRPr="006879C3">
        <w:rPr>
          <w:rFonts w:asciiTheme="majorEastAsia" w:eastAsiaTheme="majorEastAsia" w:hAnsiTheme="majorEastAsia" w:hint="eastAsia"/>
          <w:sz w:val="22"/>
        </w:rPr>
        <w:t xml:space="preserve">　　　③　市町村の子ども家庭支援体制の構築等に向けた取組</w:t>
      </w:r>
    </w:p>
    <w:p w:rsidR="004F5159" w:rsidRPr="006879C3" w:rsidRDefault="004F5159">
      <w:pPr>
        <w:rPr>
          <w:rFonts w:asciiTheme="majorEastAsia" w:eastAsiaTheme="majorEastAsia" w:hAnsiTheme="majorEastAsia"/>
          <w:sz w:val="22"/>
        </w:rPr>
      </w:pPr>
      <w:r w:rsidRPr="006879C3">
        <w:rPr>
          <w:rFonts w:asciiTheme="majorEastAsia" w:eastAsiaTheme="majorEastAsia" w:hAnsiTheme="majorEastAsia" w:hint="eastAsia"/>
          <w:sz w:val="22"/>
        </w:rPr>
        <w:t xml:space="preserve">　　　④　各年度における代替養育を必要とする子ども数の見込み</w:t>
      </w:r>
    </w:p>
    <w:p w:rsidR="004F5159" w:rsidRPr="006879C3" w:rsidRDefault="004F5159">
      <w:pPr>
        <w:rPr>
          <w:rFonts w:asciiTheme="majorEastAsia" w:eastAsiaTheme="majorEastAsia" w:hAnsiTheme="majorEastAsia"/>
          <w:sz w:val="22"/>
        </w:rPr>
      </w:pPr>
      <w:r w:rsidRPr="006879C3">
        <w:rPr>
          <w:rFonts w:asciiTheme="majorEastAsia" w:eastAsiaTheme="majorEastAsia" w:hAnsiTheme="majorEastAsia" w:hint="eastAsia"/>
          <w:sz w:val="22"/>
        </w:rPr>
        <w:t xml:space="preserve">　　　⑤　里親等への委託の推進に向けた取組</w:t>
      </w:r>
    </w:p>
    <w:p w:rsidR="004F5159" w:rsidRPr="006879C3" w:rsidRDefault="004F5159" w:rsidP="00A5235C">
      <w:pPr>
        <w:ind w:rightChars="-203" w:right="-426"/>
        <w:rPr>
          <w:rFonts w:asciiTheme="majorEastAsia" w:eastAsiaTheme="majorEastAsia" w:hAnsiTheme="majorEastAsia"/>
          <w:sz w:val="22"/>
        </w:rPr>
      </w:pPr>
      <w:r w:rsidRPr="006879C3">
        <w:rPr>
          <w:rFonts w:asciiTheme="majorEastAsia" w:eastAsiaTheme="majorEastAsia" w:hAnsiTheme="majorEastAsia" w:hint="eastAsia"/>
          <w:sz w:val="22"/>
        </w:rPr>
        <w:t xml:space="preserve">　　　⑥　</w:t>
      </w:r>
      <w:r w:rsidRPr="00A5235C">
        <w:rPr>
          <w:rFonts w:asciiTheme="majorEastAsia" w:eastAsiaTheme="majorEastAsia" w:hAnsiTheme="majorEastAsia" w:hint="eastAsia"/>
          <w:w w:val="90"/>
          <w:sz w:val="22"/>
        </w:rPr>
        <w:t>パーマネンシー保障としての特別養子縁組の推進のための支援体制の構築</w:t>
      </w:r>
      <w:r w:rsidR="00A5235C" w:rsidRPr="00A5235C">
        <w:rPr>
          <w:rFonts w:asciiTheme="majorEastAsia" w:eastAsiaTheme="majorEastAsia" w:hAnsiTheme="majorEastAsia" w:hint="eastAsia"/>
          <w:w w:val="90"/>
          <w:sz w:val="22"/>
        </w:rPr>
        <w:t>に向けた取組</w:t>
      </w:r>
    </w:p>
    <w:p w:rsidR="004F5159" w:rsidRPr="006879C3" w:rsidRDefault="004F5159" w:rsidP="006879C3">
      <w:pPr>
        <w:ind w:rightChars="-135" w:right="-283"/>
        <w:rPr>
          <w:rFonts w:asciiTheme="majorEastAsia" w:eastAsiaTheme="majorEastAsia" w:hAnsiTheme="majorEastAsia"/>
          <w:sz w:val="22"/>
        </w:rPr>
      </w:pPr>
      <w:r w:rsidRPr="006879C3">
        <w:rPr>
          <w:rFonts w:asciiTheme="majorEastAsia" w:eastAsiaTheme="majorEastAsia" w:hAnsiTheme="majorEastAsia" w:hint="eastAsia"/>
          <w:sz w:val="22"/>
        </w:rPr>
        <w:t xml:space="preserve">　　　⑦　施設の小規模かつ地域分散化、高機能化及び多機能化・</w:t>
      </w:r>
      <w:r w:rsidR="006879C3">
        <w:rPr>
          <w:rFonts w:asciiTheme="majorEastAsia" w:eastAsiaTheme="majorEastAsia" w:hAnsiTheme="majorEastAsia" w:hint="eastAsia"/>
          <w:sz w:val="22"/>
        </w:rPr>
        <w:t>機能</w:t>
      </w:r>
      <w:r w:rsidRPr="006879C3">
        <w:rPr>
          <w:rFonts w:asciiTheme="majorEastAsia" w:eastAsiaTheme="majorEastAsia" w:hAnsiTheme="majorEastAsia" w:hint="eastAsia"/>
          <w:sz w:val="22"/>
        </w:rPr>
        <w:t>転換に向けた取組</w:t>
      </w:r>
    </w:p>
    <w:p w:rsidR="004F5159" w:rsidRPr="006879C3" w:rsidRDefault="00D655D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142F3" wp14:editId="6352405D">
                <wp:simplePos x="0" y="0"/>
                <wp:positionH relativeFrom="column">
                  <wp:posOffset>3425190</wp:posOffset>
                </wp:positionH>
                <wp:positionV relativeFrom="paragraph">
                  <wp:posOffset>24765</wp:posOffset>
                </wp:positionV>
                <wp:extent cx="2514600" cy="1371600"/>
                <wp:effectExtent l="381000" t="57150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371600"/>
                        </a:xfrm>
                        <a:prstGeom prst="wedgeRectCallout">
                          <a:avLst>
                            <a:gd name="adj1" fmla="val -64981"/>
                            <a:gd name="adj2" fmla="val -91658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D655D3" w:rsidRPr="00D655D3" w:rsidRDefault="00D655D3" w:rsidP="007D25B4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</w:t>
                            </w:r>
                            <w:r w:rsidR="007D25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里親委託率については、「これまでの地域の実情は踏まえつつも、上述した数値目標を十分に念頭に置き、個々の子どもに対する十分なアセスメントを行った上で、</w:t>
                            </w:r>
                            <w:r w:rsidR="00940D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代替養育を必要とする子ども数の見込み等を踏まえ、</w:t>
                            </w:r>
                            <w:r w:rsidR="007D25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数値目標と達成期限を設定する」とされた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" o:spid="_x0000_s1027" type="#_x0000_t61" style="position:absolute;left:0;text-align:left;margin-left:269.7pt;margin-top:1.95pt;width:198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" adj="-3236,-8998" filled="f" strokecolor="windowText">
                <v:stroke dashstyle="dash"/>
                <v:textbox>
                  <w:txbxContent>
                    <w:p w:rsidR="00D655D3" w:rsidRPr="00D655D3" w:rsidRDefault="00D655D3" w:rsidP="007D25B4">
                      <w:pPr>
                        <w:spacing w:line="240" w:lineRule="exact"/>
                        <w:ind w:left="210" w:hangingChars="100" w:hanging="21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</w:t>
                      </w:r>
                      <w:r w:rsidR="007D25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里親委託率については、「これまでの地域の実情は踏まえつつも、上述した数値目標を十分に念頭に置き、個々の子どもに対する十分なアセスメントを行った上で、</w:t>
                      </w:r>
                      <w:r w:rsidR="00940D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代替養育を必要とする子ども数の見込み等を踏まえ、</w:t>
                      </w:r>
                      <w:r w:rsidR="007D25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数値目標と達成期限を設定する」とされた</w:t>
                      </w:r>
                    </w:p>
                  </w:txbxContent>
                </v:textbox>
              </v:shape>
            </w:pict>
          </mc:Fallback>
        </mc:AlternateContent>
      </w:r>
      <w:r w:rsidR="004F5159" w:rsidRPr="006879C3">
        <w:rPr>
          <w:rFonts w:asciiTheme="majorEastAsia" w:eastAsiaTheme="majorEastAsia" w:hAnsiTheme="majorEastAsia" w:hint="eastAsia"/>
          <w:sz w:val="22"/>
        </w:rPr>
        <w:t xml:space="preserve">　　　⑧　一時保護改革に向けた取組</w:t>
      </w:r>
    </w:p>
    <w:p w:rsidR="004F5159" w:rsidRPr="006879C3" w:rsidRDefault="004F5159">
      <w:pPr>
        <w:rPr>
          <w:rFonts w:asciiTheme="majorEastAsia" w:eastAsiaTheme="majorEastAsia" w:hAnsiTheme="majorEastAsia"/>
          <w:sz w:val="22"/>
        </w:rPr>
      </w:pPr>
      <w:r w:rsidRPr="006879C3">
        <w:rPr>
          <w:rFonts w:asciiTheme="majorEastAsia" w:eastAsiaTheme="majorEastAsia" w:hAnsiTheme="majorEastAsia" w:hint="eastAsia"/>
          <w:sz w:val="22"/>
        </w:rPr>
        <w:t xml:space="preserve">　　　⑨　社会的養護自立支援の推進に向けた取組</w:t>
      </w:r>
    </w:p>
    <w:p w:rsidR="004F5159" w:rsidRPr="006879C3" w:rsidRDefault="004F5159">
      <w:pPr>
        <w:rPr>
          <w:rFonts w:asciiTheme="majorEastAsia" w:eastAsiaTheme="majorEastAsia" w:hAnsiTheme="majorEastAsia"/>
          <w:sz w:val="22"/>
        </w:rPr>
      </w:pPr>
      <w:r w:rsidRPr="006879C3">
        <w:rPr>
          <w:rFonts w:asciiTheme="majorEastAsia" w:eastAsiaTheme="majorEastAsia" w:hAnsiTheme="majorEastAsia" w:hint="eastAsia"/>
          <w:sz w:val="22"/>
        </w:rPr>
        <w:t xml:space="preserve">　　　⑩　児童相談所の強化等に向けた取組</w:t>
      </w:r>
      <w:r w:rsidR="00A5235C">
        <w:rPr>
          <w:rFonts w:asciiTheme="majorEastAsia" w:eastAsiaTheme="majorEastAsia" w:hAnsiTheme="majorEastAsia" w:hint="eastAsia"/>
          <w:sz w:val="22"/>
        </w:rPr>
        <w:t xml:space="preserve">　　等</w:t>
      </w:r>
    </w:p>
    <w:p w:rsidR="004F5159" w:rsidRDefault="00A5235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（２）計画期間</w:t>
      </w:r>
    </w:p>
    <w:p w:rsidR="00D655D3" w:rsidRDefault="00D655D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2020年度から2029年度まで</w:t>
      </w:r>
    </w:p>
    <w:p w:rsidR="007D25B4" w:rsidRDefault="007D25B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（前期2020</w:t>
      </w:r>
      <w:r w:rsidR="00940DAF">
        <w:rPr>
          <w:rFonts w:asciiTheme="majorEastAsia" w:eastAsiaTheme="majorEastAsia" w:hAnsiTheme="majorEastAsia" w:hint="eastAsia"/>
          <w:sz w:val="22"/>
        </w:rPr>
        <w:t>～</w:t>
      </w:r>
      <w:r>
        <w:rPr>
          <w:rFonts w:asciiTheme="majorEastAsia" w:eastAsiaTheme="majorEastAsia" w:hAnsiTheme="majorEastAsia" w:hint="eastAsia"/>
          <w:sz w:val="22"/>
        </w:rPr>
        <w:t>2024、後期2025</w:t>
      </w:r>
      <w:r w:rsidR="00940DAF">
        <w:rPr>
          <w:rFonts w:asciiTheme="majorEastAsia" w:eastAsiaTheme="majorEastAsia" w:hAnsiTheme="majorEastAsia" w:hint="eastAsia"/>
          <w:sz w:val="22"/>
        </w:rPr>
        <w:t>～</w:t>
      </w:r>
      <w:r>
        <w:rPr>
          <w:rFonts w:asciiTheme="majorEastAsia" w:eastAsiaTheme="majorEastAsia" w:hAnsiTheme="majorEastAsia" w:hint="eastAsia"/>
          <w:sz w:val="22"/>
        </w:rPr>
        <w:t>2029）</w:t>
      </w:r>
    </w:p>
    <w:p w:rsidR="00A5235C" w:rsidRPr="006879C3" w:rsidRDefault="00A5235C">
      <w:pPr>
        <w:rPr>
          <w:rFonts w:asciiTheme="majorEastAsia" w:eastAsiaTheme="majorEastAsia" w:hAnsiTheme="majorEastAsia"/>
          <w:sz w:val="22"/>
        </w:rPr>
      </w:pPr>
    </w:p>
    <w:p w:rsidR="00486556" w:rsidRPr="006879C3" w:rsidRDefault="004F5159">
      <w:pPr>
        <w:rPr>
          <w:rFonts w:asciiTheme="majorEastAsia" w:eastAsiaTheme="majorEastAsia" w:hAnsiTheme="majorEastAsia"/>
          <w:sz w:val="22"/>
        </w:rPr>
      </w:pPr>
      <w:r w:rsidRPr="006879C3">
        <w:rPr>
          <w:rFonts w:asciiTheme="majorEastAsia" w:eastAsiaTheme="majorEastAsia" w:hAnsiTheme="majorEastAsia" w:hint="eastAsia"/>
          <w:sz w:val="22"/>
        </w:rPr>
        <w:t>３</w:t>
      </w:r>
      <w:r w:rsidR="00486556" w:rsidRPr="006879C3">
        <w:rPr>
          <w:rFonts w:asciiTheme="majorEastAsia" w:eastAsiaTheme="majorEastAsia" w:hAnsiTheme="majorEastAsia" w:hint="eastAsia"/>
          <w:sz w:val="22"/>
        </w:rPr>
        <w:t xml:space="preserve">　今後のスケジュール</w:t>
      </w:r>
      <w:r w:rsidR="00940DAF">
        <w:rPr>
          <w:rFonts w:asciiTheme="majorEastAsia" w:eastAsiaTheme="majorEastAsia" w:hAnsiTheme="majorEastAsia" w:hint="eastAsia"/>
          <w:sz w:val="22"/>
        </w:rPr>
        <w:t>（予定）</w:t>
      </w:r>
    </w:p>
    <w:p w:rsidR="00486556" w:rsidRPr="006879C3" w:rsidRDefault="004F5159" w:rsidP="006879C3">
      <w:pPr>
        <w:tabs>
          <w:tab w:val="left" w:pos="1560"/>
          <w:tab w:val="left" w:pos="2694"/>
        </w:tabs>
        <w:rPr>
          <w:rFonts w:asciiTheme="majorEastAsia" w:eastAsiaTheme="majorEastAsia" w:hAnsiTheme="majorEastAsia"/>
          <w:sz w:val="22"/>
        </w:rPr>
      </w:pPr>
      <w:r w:rsidRPr="006879C3">
        <w:rPr>
          <w:rFonts w:asciiTheme="majorEastAsia" w:eastAsiaTheme="majorEastAsia" w:hAnsiTheme="majorEastAsia" w:hint="eastAsia"/>
          <w:sz w:val="22"/>
        </w:rPr>
        <w:t xml:space="preserve">　　</w:t>
      </w:r>
      <w:r w:rsidR="006879C3" w:rsidRPr="006879C3">
        <w:rPr>
          <w:rFonts w:asciiTheme="majorEastAsia" w:eastAsiaTheme="majorEastAsia" w:hAnsiTheme="majorEastAsia" w:hint="eastAsia"/>
          <w:sz w:val="22"/>
        </w:rPr>
        <w:t>今年度中</w:t>
      </w:r>
      <w:r w:rsidR="006879C3" w:rsidRPr="006879C3">
        <w:rPr>
          <w:rFonts w:asciiTheme="majorEastAsia" w:eastAsiaTheme="majorEastAsia" w:hAnsiTheme="majorEastAsia" w:hint="eastAsia"/>
          <w:sz w:val="22"/>
        </w:rPr>
        <w:tab/>
      </w:r>
      <w:r w:rsidR="006879C3" w:rsidRPr="006879C3">
        <w:rPr>
          <w:rFonts w:asciiTheme="majorEastAsia" w:eastAsiaTheme="majorEastAsia" w:hAnsiTheme="majorEastAsia" w:hint="eastAsia"/>
          <w:sz w:val="22"/>
        </w:rPr>
        <w:tab/>
        <w:t>市町村、各施設</w:t>
      </w:r>
      <w:r w:rsidR="00BE6FC1">
        <w:rPr>
          <w:rFonts w:asciiTheme="majorEastAsia" w:eastAsiaTheme="majorEastAsia" w:hAnsiTheme="majorEastAsia" w:hint="eastAsia"/>
          <w:sz w:val="22"/>
        </w:rPr>
        <w:t>等</w:t>
      </w:r>
      <w:bookmarkStart w:id="0" w:name="_GoBack"/>
      <w:bookmarkEnd w:id="0"/>
      <w:r w:rsidR="006879C3" w:rsidRPr="006879C3">
        <w:rPr>
          <w:rFonts w:asciiTheme="majorEastAsia" w:eastAsiaTheme="majorEastAsia" w:hAnsiTheme="majorEastAsia" w:hint="eastAsia"/>
          <w:sz w:val="22"/>
        </w:rPr>
        <w:t>への説明、ヒアリング</w:t>
      </w:r>
    </w:p>
    <w:p w:rsidR="006879C3" w:rsidRPr="006879C3" w:rsidRDefault="006879C3" w:rsidP="00BE6FC1">
      <w:pPr>
        <w:tabs>
          <w:tab w:val="left" w:pos="1560"/>
          <w:tab w:val="left" w:pos="2694"/>
        </w:tabs>
        <w:rPr>
          <w:rFonts w:asciiTheme="majorEastAsia" w:eastAsiaTheme="majorEastAsia" w:hAnsiTheme="majorEastAsia"/>
          <w:sz w:val="22"/>
        </w:rPr>
      </w:pPr>
      <w:r w:rsidRPr="006879C3">
        <w:rPr>
          <w:rFonts w:asciiTheme="majorEastAsia" w:eastAsiaTheme="majorEastAsia" w:hAnsiTheme="majorEastAsia" w:hint="eastAsia"/>
          <w:sz w:val="22"/>
        </w:rPr>
        <w:t xml:space="preserve">　　</w:t>
      </w:r>
      <w:r w:rsidR="00940DAF">
        <w:rPr>
          <w:rFonts w:asciiTheme="majorEastAsia" w:eastAsiaTheme="majorEastAsia" w:hAnsiTheme="majorEastAsia" w:hint="eastAsia"/>
          <w:sz w:val="22"/>
        </w:rPr>
        <w:t>2019年</w:t>
      </w:r>
      <w:r w:rsidRPr="006879C3">
        <w:rPr>
          <w:rFonts w:asciiTheme="majorEastAsia" w:eastAsiaTheme="majorEastAsia" w:hAnsiTheme="majorEastAsia" w:hint="eastAsia"/>
          <w:sz w:val="22"/>
        </w:rPr>
        <w:tab/>
      </w:r>
      <w:r w:rsidR="00BE6FC1">
        <w:rPr>
          <w:rFonts w:asciiTheme="majorEastAsia" w:eastAsiaTheme="majorEastAsia" w:hAnsiTheme="majorEastAsia" w:hint="eastAsia"/>
          <w:sz w:val="22"/>
        </w:rPr>
        <w:t>７</w:t>
      </w:r>
      <w:r w:rsidRPr="006879C3">
        <w:rPr>
          <w:rFonts w:asciiTheme="majorEastAsia" w:eastAsiaTheme="majorEastAsia" w:hAnsiTheme="majorEastAsia" w:hint="eastAsia"/>
          <w:sz w:val="22"/>
        </w:rPr>
        <w:t>～９月</w:t>
      </w:r>
      <w:r w:rsidRPr="006879C3">
        <w:rPr>
          <w:rFonts w:asciiTheme="majorEastAsia" w:eastAsiaTheme="majorEastAsia" w:hAnsiTheme="majorEastAsia" w:hint="eastAsia"/>
          <w:sz w:val="22"/>
        </w:rPr>
        <w:tab/>
        <w:t>児童福祉</w:t>
      </w:r>
      <w:r w:rsidR="00940DAF">
        <w:rPr>
          <w:rFonts w:asciiTheme="majorEastAsia" w:eastAsiaTheme="majorEastAsia" w:hAnsiTheme="majorEastAsia" w:hint="eastAsia"/>
          <w:sz w:val="22"/>
        </w:rPr>
        <w:t>専門</w:t>
      </w:r>
      <w:r w:rsidRPr="006879C3">
        <w:rPr>
          <w:rFonts w:asciiTheme="majorEastAsia" w:eastAsiaTheme="majorEastAsia" w:hAnsiTheme="majorEastAsia" w:hint="eastAsia"/>
          <w:sz w:val="22"/>
        </w:rPr>
        <w:t>分科会関係部会等への意見聴取</w:t>
      </w:r>
    </w:p>
    <w:p w:rsidR="006879C3" w:rsidRPr="006879C3" w:rsidRDefault="006879C3" w:rsidP="006879C3">
      <w:pPr>
        <w:tabs>
          <w:tab w:val="left" w:pos="1560"/>
          <w:tab w:val="left" w:pos="2694"/>
        </w:tabs>
        <w:rPr>
          <w:rFonts w:asciiTheme="majorEastAsia" w:eastAsiaTheme="majorEastAsia" w:hAnsiTheme="majorEastAsia"/>
          <w:sz w:val="22"/>
        </w:rPr>
      </w:pPr>
      <w:r w:rsidRPr="006879C3">
        <w:rPr>
          <w:rFonts w:asciiTheme="majorEastAsia" w:eastAsiaTheme="majorEastAsia" w:hAnsiTheme="majorEastAsia" w:hint="eastAsia"/>
          <w:sz w:val="22"/>
        </w:rPr>
        <w:t xml:space="preserve">　　</w:t>
      </w:r>
      <w:r w:rsidRPr="006879C3">
        <w:rPr>
          <w:rFonts w:asciiTheme="majorEastAsia" w:eastAsiaTheme="majorEastAsia" w:hAnsiTheme="majorEastAsia" w:hint="eastAsia"/>
          <w:sz w:val="22"/>
        </w:rPr>
        <w:tab/>
        <w:t>10～12月</w:t>
      </w:r>
      <w:r w:rsidRPr="006879C3">
        <w:rPr>
          <w:rFonts w:asciiTheme="majorEastAsia" w:eastAsiaTheme="majorEastAsia" w:hAnsiTheme="majorEastAsia" w:hint="eastAsia"/>
          <w:sz w:val="22"/>
        </w:rPr>
        <w:tab/>
        <w:t>計画案の策定</w:t>
      </w:r>
    </w:p>
    <w:p w:rsidR="006879C3" w:rsidRPr="006879C3" w:rsidRDefault="006879C3" w:rsidP="006879C3">
      <w:pPr>
        <w:tabs>
          <w:tab w:val="left" w:pos="1560"/>
          <w:tab w:val="left" w:pos="2694"/>
        </w:tabs>
        <w:rPr>
          <w:rFonts w:asciiTheme="majorEastAsia" w:eastAsiaTheme="majorEastAsia" w:hAnsiTheme="majorEastAsia"/>
          <w:sz w:val="22"/>
        </w:rPr>
      </w:pPr>
      <w:r w:rsidRPr="006879C3">
        <w:rPr>
          <w:rFonts w:asciiTheme="majorEastAsia" w:eastAsiaTheme="majorEastAsia" w:hAnsiTheme="majorEastAsia" w:hint="eastAsia"/>
          <w:sz w:val="22"/>
        </w:rPr>
        <w:t xml:space="preserve">　　</w:t>
      </w:r>
      <w:r w:rsidR="00940DAF">
        <w:rPr>
          <w:rFonts w:asciiTheme="majorEastAsia" w:eastAsiaTheme="majorEastAsia" w:hAnsiTheme="majorEastAsia" w:hint="eastAsia"/>
          <w:sz w:val="22"/>
        </w:rPr>
        <w:t>2020年</w:t>
      </w:r>
      <w:r w:rsidRPr="006879C3">
        <w:rPr>
          <w:rFonts w:asciiTheme="majorEastAsia" w:eastAsiaTheme="majorEastAsia" w:hAnsiTheme="majorEastAsia" w:hint="eastAsia"/>
          <w:sz w:val="22"/>
        </w:rPr>
        <w:tab/>
        <w:t>１～３月</w:t>
      </w:r>
      <w:r w:rsidRPr="006879C3">
        <w:rPr>
          <w:rFonts w:asciiTheme="majorEastAsia" w:eastAsiaTheme="majorEastAsia" w:hAnsiTheme="majorEastAsia" w:hint="eastAsia"/>
          <w:sz w:val="22"/>
        </w:rPr>
        <w:tab/>
        <w:t>パブリックコメント</w:t>
      </w:r>
    </w:p>
    <w:p w:rsidR="00940DAF" w:rsidRDefault="006879C3" w:rsidP="00D655D3">
      <w:pPr>
        <w:tabs>
          <w:tab w:val="left" w:pos="1560"/>
          <w:tab w:val="left" w:pos="2694"/>
        </w:tabs>
        <w:rPr>
          <w:rFonts w:asciiTheme="majorEastAsia" w:eastAsiaTheme="majorEastAsia" w:hAnsiTheme="majorEastAsia" w:hint="eastAsia"/>
          <w:sz w:val="22"/>
        </w:rPr>
      </w:pPr>
      <w:r w:rsidRPr="006879C3">
        <w:rPr>
          <w:rFonts w:asciiTheme="majorEastAsia" w:eastAsiaTheme="majorEastAsia" w:hAnsiTheme="majorEastAsia" w:hint="eastAsia"/>
          <w:sz w:val="22"/>
        </w:rPr>
        <w:tab/>
      </w:r>
      <w:r w:rsidRPr="006879C3">
        <w:rPr>
          <w:rFonts w:asciiTheme="majorEastAsia" w:eastAsiaTheme="majorEastAsia" w:hAnsiTheme="majorEastAsia" w:hint="eastAsia"/>
          <w:sz w:val="22"/>
        </w:rPr>
        <w:tab/>
      </w:r>
      <w:r w:rsidR="00940DAF">
        <w:rPr>
          <w:rFonts w:asciiTheme="majorEastAsia" w:eastAsiaTheme="majorEastAsia" w:hAnsiTheme="majorEastAsia" w:hint="eastAsia"/>
          <w:sz w:val="22"/>
        </w:rPr>
        <w:t>児童福祉</w:t>
      </w:r>
      <w:r w:rsidR="00A818BC">
        <w:rPr>
          <w:rFonts w:asciiTheme="majorEastAsia" w:eastAsiaTheme="majorEastAsia" w:hAnsiTheme="majorEastAsia" w:hint="eastAsia"/>
          <w:sz w:val="22"/>
        </w:rPr>
        <w:t>専門</w:t>
      </w:r>
      <w:r w:rsidRPr="006879C3">
        <w:rPr>
          <w:rFonts w:asciiTheme="majorEastAsia" w:eastAsiaTheme="majorEastAsia" w:hAnsiTheme="majorEastAsia" w:hint="eastAsia"/>
          <w:sz w:val="22"/>
        </w:rPr>
        <w:t>分科会での審議</w:t>
      </w:r>
    </w:p>
    <w:p w:rsidR="00BE6FC1" w:rsidRPr="006879C3" w:rsidRDefault="00BE6FC1" w:rsidP="00D655D3">
      <w:pPr>
        <w:tabs>
          <w:tab w:val="left" w:pos="1560"/>
          <w:tab w:val="left" w:pos="2694"/>
        </w:tabs>
        <w:rPr>
          <w:rFonts w:asciiTheme="majorEastAsia" w:eastAsiaTheme="majorEastAsia" w:hAnsiTheme="majorEastAsia"/>
          <w:sz w:val="22"/>
        </w:rPr>
      </w:pPr>
    </w:p>
    <w:sectPr w:rsidR="00BE6FC1" w:rsidRPr="006879C3" w:rsidSect="007D25B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56"/>
    <w:rsid w:val="00486556"/>
    <w:rsid w:val="004F5159"/>
    <w:rsid w:val="005405C8"/>
    <w:rsid w:val="006879C3"/>
    <w:rsid w:val="007D25B4"/>
    <w:rsid w:val="00940DAF"/>
    <w:rsid w:val="009857DF"/>
    <w:rsid w:val="00A5235C"/>
    <w:rsid w:val="00A818BC"/>
    <w:rsid w:val="00B4748B"/>
    <w:rsid w:val="00BE6FC1"/>
    <w:rsid w:val="00CA5520"/>
    <w:rsid w:val="00D655D3"/>
    <w:rsid w:val="00F3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05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0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2018-10-29T05:45:00Z</cp:lastPrinted>
  <dcterms:created xsi:type="dcterms:W3CDTF">2018-10-29T04:04:00Z</dcterms:created>
  <dcterms:modified xsi:type="dcterms:W3CDTF">2018-10-29T08:08:00Z</dcterms:modified>
</cp:coreProperties>
</file>