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5B" w:rsidRPr="00E551FE" w:rsidRDefault="002C1E3D" w:rsidP="0092770C">
      <w:pPr>
        <w:jc w:val="center"/>
        <w:rPr>
          <w:rFonts w:asciiTheme="majorEastAsia" w:eastAsiaTheme="majorEastAsia" w:hAnsiTheme="majorEastAsia"/>
          <w:sz w:val="24"/>
        </w:rPr>
      </w:pPr>
      <w:r w:rsidRPr="002C1E3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-396240</wp:posOffset>
                </wp:positionV>
                <wp:extent cx="1038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3D" w:rsidRPr="002C1E3D" w:rsidRDefault="002C1E3D" w:rsidP="002C1E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C1E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25pt;margin-top:-31.2pt;width:81.7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">
                <v:textbox style="mso-fit-shape-to-text:t">
                  <w:txbxContent>
                    <w:p w:rsidR="002C1E3D" w:rsidRPr="002C1E3D" w:rsidRDefault="002C1E3D" w:rsidP="002C1E3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C1E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2D095B" w:rsidRPr="00E551FE">
        <w:rPr>
          <w:rFonts w:asciiTheme="majorEastAsia" w:eastAsiaTheme="majorEastAsia" w:hAnsiTheme="majorEastAsia" w:hint="eastAsia"/>
          <w:sz w:val="24"/>
        </w:rPr>
        <w:t>富山県再犯防止推進計画</w:t>
      </w:r>
      <w:r w:rsidR="00773931" w:rsidRPr="00E551FE">
        <w:rPr>
          <w:rFonts w:asciiTheme="majorEastAsia" w:eastAsiaTheme="majorEastAsia" w:hAnsiTheme="majorEastAsia" w:hint="eastAsia"/>
          <w:sz w:val="24"/>
        </w:rPr>
        <w:t>の策定</w:t>
      </w:r>
      <w:r w:rsidR="00E552F8" w:rsidRPr="00E551FE">
        <w:rPr>
          <w:rFonts w:asciiTheme="majorEastAsia" w:eastAsiaTheme="majorEastAsia" w:hAnsiTheme="majorEastAsia" w:hint="eastAsia"/>
          <w:sz w:val="24"/>
        </w:rPr>
        <w:t>に</w:t>
      </w:r>
      <w:r w:rsidR="00A97D5E" w:rsidRPr="00E551FE">
        <w:rPr>
          <w:rFonts w:asciiTheme="majorEastAsia" w:eastAsiaTheme="majorEastAsia" w:hAnsiTheme="majorEastAsia" w:hint="eastAsia"/>
          <w:sz w:val="24"/>
        </w:rPr>
        <w:t>当たって</w:t>
      </w:r>
      <w:r w:rsidR="00E552F8" w:rsidRPr="00E551FE">
        <w:rPr>
          <w:rFonts w:asciiTheme="majorEastAsia" w:eastAsiaTheme="majorEastAsia" w:hAnsiTheme="majorEastAsia" w:hint="eastAsia"/>
          <w:sz w:val="24"/>
        </w:rPr>
        <w:t>の基本的な考え方</w:t>
      </w:r>
    </w:p>
    <w:p w:rsidR="00E0446D" w:rsidRDefault="00E0446D" w:rsidP="00FD5BAF">
      <w:pPr>
        <w:spacing w:line="160" w:lineRule="exact"/>
        <w:rPr>
          <w:rFonts w:asciiTheme="majorEastAsia" w:eastAsiaTheme="majorEastAsia" w:hAnsiTheme="majorEastAsia"/>
          <w:sz w:val="24"/>
        </w:rPr>
      </w:pPr>
    </w:p>
    <w:p w:rsidR="00773931" w:rsidRPr="00E551FE" w:rsidRDefault="00CA4EA4" w:rsidP="0092770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　</w:t>
      </w:r>
      <w:r w:rsidR="00E815C2">
        <w:rPr>
          <w:rFonts w:asciiTheme="majorEastAsia" w:eastAsiaTheme="majorEastAsia" w:hAnsiTheme="majorEastAsia" w:hint="eastAsia"/>
          <w:sz w:val="24"/>
        </w:rPr>
        <w:t>策定の</w:t>
      </w:r>
      <w:r w:rsidR="00773931" w:rsidRPr="00E551FE">
        <w:rPr>
          <w:rFonts w:asciiTheme="majorEastAsia" w:eastAsiaTheme="majorEastAsia" w:hAnsiTheme="majorEastAsia" w:hint="eastAsia"/>
          <w:sz w:val="24"/>
        </w:rPr>
        <w:t>趣旨</w:t>
      </w:r>
    </w:p>
    <w:p w:rsidR="00677ED7" w:rsidRDefault="00A92D5A" w:rsidP="0092770C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61452E" w:rsidRPr="004A6C46">
        <w:rPr>
          <w:rFonts w:asciiTheme="minorEastAsia" w:hAnsiTheme="minorEastAsia" w:hint="eastAsia"/>
          <w:sz w:val="24"/>
          <w:szCs w:val="24"/>
        </w:rPr>
        <w:t>再犯の防止等の推進に関する法律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15125D">
        <w:rPr>
          <w:rFonts w:asciiTheme="minorEastAsia" w:hAnsiTheme="minorEastAsia" w:hint="eastAsia"/>
          <w:sz w:val="24"/>
          <w:szCs w:val="24"/>
        </w:rPr>
        <w:t>及び国の再犯防止推進計画を踏まえ、</w:t>
      </w:r>
      <w:r w:rsidR="0092214D">
        <w:rPr>
          <w:rFonts w:asciiTheme="minorEastAsia" w:hAnsiTheme="minorEastAsia" w:hint="eastAsia"/>
          <w:sz w:val="24"/>
          <w:szCs w:val="24"/>
        </w:rPr>
        <w:t>富山</w:t>
      </w:r>
      <w:r w:rsidR="00CA4EA4">
        <w:rPr>
          <w:rFonts w:asciiTheme="minorEastAsia" w:hAnsiTheme="minorEastAsia" w:hint="eastAsia"/>
          <w:sz w:val="24"/>
          <w:szCs w:val="24"/>
        </w:rPr>
        <w:t>県における</w:t>
      </w:r>
      <w:r w:rsidR="00677ED7">
        <w:rPr>
          <w:rFonts w:asciiTheme="minorEastAsia" w:hAnsiTheme="minorEastAsia" w:hint="eastAsia"/>
          <w:sz w:val="24"/>
          <w:szCs w:val="24"/>
        </w:rPr>
        <w:t>再犯の防止等</w:t>
      </w:r>
      <w:r w:rsidR="00CA4EA4">
        <w:rPr>
          <w:rFonts w:asciiTheme="minorEastAsia" w:hAnsiTheme="minorEastAsia" w:hint="eastAsia"/>
          <w:sz w:val="24"/>
          <w:szCs w:val="24"/>
        </w:rPr>
        <w:t>に</w:t>
      </w:r>
      <w:r w:rsidR="00A05A73">
        <w:rPr>
          <w:rFonts w:asciiTheme="minorEastAsia" w:hAnsiTheme="minorEastAsia" w:hint="eastAsia"/>
          <w:sz w:val="24"/>
          <w:szCs w:val="24"/>
        </w:rPr>
        <w:t>関する施策の基本となる事項を定めることにより</w:t>
      </w:r>
      <w:r w:rsidR="00677ED7">
        <w:rPr>
          <w:rFonts w:asciiTheme="minorEastAsia" w:hAnsiTheme="minorEastAsia" w:hint="eastAsia"/>
          <w:sz w:val="24"/>
          <w:szCs w:val="24"/>
        </w:rPr>
        <w:t>、再犯の防止等に関する施策を総合的かつ計画的に推進するため</w:t>
      </w:r>
      <w:r w:rsidR="00A05A73">
        <w:rPr>
          <w:rFonts w:asciiTheme="minorEastAsia" w:hAnsiTheme="minorEastAsia" w:hint="eastAsia"/>
          <w:sz w:val="24"/>
          <w:szCs w:val="24"/>
        </w:rPr>
        <w:t>、</w:t>
      </w:r>
      <w:r w:rsidR="0092214D">
        <w:rPr>
          <w:rFonts w:asciiTheme="minorEastAsia" w:hAnsiTheme="minorEastAsia" w:hint="eastAsia"/>
          <w:sz w:val="24"/>
          <w:szCs w:val="24"/>
        </w:rPr>
        <w:t>新た</w:t>
      </w:r>
      <w:r w:rsidR="00A05A73">
        <w:rPr>
          <w:rFonts w:asciiTheme="minorEastAsia" w:hAnsiTheme="minorEastAsia" w:hint="eastAsia"/>
          <w:sz w:val="24"/>
          <w:szCs w:val="24"/>
        </w:rPr>
        <w:t>に県</w:t>
      </w:r>
      <w:r w:rsidR="00677ED7">
        <w:rPr>
          <w:rFonts w:asciiTheme="minorEastAsia" w:hAnsiTheme="minorEastAsia" w:hint="eastAsia"/>
          <w:sz w:val="24"/>
          <w:szCs w:val="24"/>
        </w:rPr>
        <w:t>計画を策定するもの。</w:t>
      </w:r>
    </w:p>
    <w:p w:rsidR="00CA4EA4" w:rsidRDefault="00CA4EA4" w:rsidP="00FD5BAF">
      <w:pPr>
        <w:spacing w:line="-160" w:lineRule="auto"/>
        <w:rPr>
          <w:rFonts w:asciiTheme="minorEastAsia" w:hAnsiTheme="minorEastAsia"/>
          <w:sz w:val="24"/>
          <w:szCs w:val="24"/>
        </w:rPr>
      </w:pPr>
    </w:p>
    <w:p w:rsidR="00677ED7" w:rsidRPr="00CA4EA4" w:rsidRDefault="00CA4EA4" w:rsidP="0092770C">
      <w:pPr>
        <w:rPr>
          <w:rFonts w:asciiTheme="majorEastAsia" w:eastAsiaTheme="majorEastAsia" w:hAnsiTheme="majorEastAsia"/>
          <w:sz w:val="24"/>
        </w:rPr>
      </w:pPr>
      <w:r w:rsidRPr="00CA4EA4">
        <w:rPr>
          <w:rFonts w:asciiTheme="majorEastAsia" w:eastAsiaTheme="majorEastAsia" w:hAnsiTheme="majorEastAsia" w:hint="eastAsia"/>
          <w:sz w:val="24"/>
          <w:szCs w:val="24"/>
        </w:rPr>
        <w:t>２　策定の経緯</w:t>
      </w:r>
      <w:r w:rsidR="00804C0F">
        <w:rPr>
          <w:rFonts w:asciiTheme="majorEastAsia" w:eastAsiaTheme="majorEastAsia" w:hAnsiTheme="majorEastAsia" w:hint="eastAsia"/>
          <w:sz w:val="24"/>
          <w:szCs w:val="24"/>
        </w:rPr>
        <w:t>・背景</w:t>
      </w:r>
    </w:p>
    <w:p w:rsidR="00677ED7" w:rsidRPr="00951A2E" w:rsidRDefault="00243066" w:rsidP="0092770C">
      <w:pPr>
        <w:pStyle w:val="a7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51A2E">
        <w:rPr>
          <w:rFonts w:asciiTheme="majorEastAsia" w:eastAsiaTheme="majorEastAsia" w:hAnsiTheme="majorEastAsia" w:hint="eastAsia"/>
          <w:sz w:val="24"/>
          <w:szCs w:val="24"/>
        </w:rPr>
        <w:t>国の</w:t>
      </w:r>
      <w:r w:rsidR="00804C0F">
        <w:rPr>
          <w:rFonts w:asciiTheme="majorEastAsia" w:eastAsiaTheme="majorEastAsia" w:hAnsiTheme="majorEastAsia" w:hint="eastAsia"/>
          <w:sz w:val="24"/>
          <w:szCs w:val="24"/>
        </w:rPr>
        <w:t>動き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243066" w:rsidRPr="000B5C64" w:rsidTr="00243066">
        <w:tc>
          <w:tcPr>
            <w:tcW w:w="1701" w:type="dxa"/>
            <w:vAlign w:val="center"/>
          </w:tcPr>
          <w:p w:rsidR="00243066" w:rsidRPr="00243066" w:rsidRDefault="00243066" w:rsidP="00DF236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243066">
              <w:rPr>
                <w:rFonts w:asciiTheme="minorEastAsia" w:hAnsiTheme="minorEastAsia" w:hint="eastAsia"/>
                <w:szCs w:val="21"/>
              </w:rPr>
              <w:t>平成19年</w:t>
            </w:r>
          </w:p>
        </w:tc>
        <w:tc>
          <w:tcPr>
            <w:tcW w:w="7938" w:type="dxa"/>
            <w:vAlign w:val="center"/>
          </w:tcPr>
          <w:p w:rsidR="00243066" w:rsidRPr="00243066" w:rsidRDefault="00243066" w:rsidP="00DF236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243066">
              <w:rPr>
                <w:rFonts w:asciiTheme="minorEastAsia" w:hAnsiTheme="minorEastAsia" w:hint="eastAsia"/>
                <w:szCs w:val="21"/>
              </w:rPr>
              <w:t>○犯罪白書</w:t>
            </w:r>
            <w:r w:rsidR="00C067B8">
              <w:rPr>
                <w:rFonts w:asciiTheme="minorEastAsia" w:hAnsiTheme="minorEastAsia" w:hint="eastAsia"/>
                <w:szCs w:val="21"/>
              </w:rPr>
              <w:t>において</w:t>
            </w:r>
            <w:r w:rsidRPr="00243066">
              <w:rPr>
                <w:rFonts w:asciiTheme="minorEastAsia" w:hAnsiTheme="minorEastAsia" w:hint="eastAsia"/>
                <w:szCs w:val="21"/>
              </w:rPr>
              <w:t>「再犯防止対策を推進する必要性と重要性」を指摘</w:t>
            </w:r>
          </w:p>
        </w:tc>
      </w:tr>
      <w:tr w:rsidR="00243066" w:rsidTr="00243066">
        <w:tc>
          <w:tcPr>
            <w:tcW w:w="1701" w:type="dxa"/>
            <w:vAlign w:val="center"/>
          </w:tcPr>
          <w:p w:rsidR="00243066" w:rsidRPr="00243066" w:rsidRDefault="00243066" w:rsidP="00DF236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243066">
              <w:rPr>
                <w:rFonts w:asciiTheme="minorEastAsia" w:hAnsiTheme="minorEastAsia" w:hint="eastAsia"/>
                <w:szCs w:val="21"/>
              </w:rPr>
              <w:t>平成24年７月</w:t>
            </w:r>
          </w:p>
        </w:tc>
        <w:tc>
          <w:tcPr>
            <w:tcW w:w="7938" w:type="dxa"/>
            <w:vAlign w:val="center"/>
          </w:tcPr>
          <w:p w:rsidR="00243066" w:rsidRPr="00243066" w:rsidRDefault="00243066" w:rsidP="00DF2364">
            <w:pPr>
              <w:spacing w:line="24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43066">
              <w:rPr>
                <w:rFonts w:asciiTheme="minorEastAsia" w:hAnsiTheme="minorEastAsia" w:hint="eastAsia"/>
                <w:szCs w:val="21"/>
              </w:rPr>
              <w:t>○犯罪対策閣僚会議</w:t>
            </w:r>
            <w:r w:rsidR="00C067B8">
              <w:rPr>
                <w:rFonts w:asciiTheme="minorEastAsia" w:hAnsiTheme="minorEastAsia" w:hint="eastAsia"/>
                <w:szCs w:val="21"/>
              </w:rPr>
              <w:t>＜構成員：全閣僚、主宰：内閣総理大臣＞で</w:t>
            </w:r>
            <w:r w:rsidRPr="00243066">
              <w:rPr>
                <w:rFonts w:asciiTheme="minorEastAsia" w:hAnsiTheme="minorEastAsia" w:hint="eastAsia"/>
                <w:szCs w:val="21"/>
              </w:rPr>
              <w:t>「再犯防止に向けた総合対策」を決定</w:t>
            </w:r>
            <w:r w:rsidR="00C067B8">
              <w:rPr>
                <w:rFonts w:asciiTheme="minorEastAsia" w:hAnsiTheme="minorEastAsia" w:hint="eastAsia"/>
                <w:szCs w:val="21"/>
              </w:rPr>
              <w:t>し、国の刑事政策で初めて</w:t>
            </w:r>
            <w:r w:rsidRPr="00243066">
              <w:rPr>
                <w:rFonts w:asciiTheme="minorEastAsia" w:hAnsiTheme="minorEastAsia"/>
                <w:szCs w:val="21"/>
              </w:rPr>
              <w:t>再犯防止に関する数値目標(</w:t>
            </w:r>
            <w:r w:rsidRPr="00243066">
              <w:rPr>
                <w:rFonts w:asciiTheme="minorEastAsia" w:hAnsiTheme="minorEastAsia" w:hint="eastAsia"/>
                <w:szCs w:val="21"/>
              </w:rPr>
              <w:t>「</w:t>
            </w:r>
            <w:r w:rsidRPr="00243066">
              <w:rPr>
                <w:rFonts w:asciiTheme="minorEastAsia" w:hAnsiTheme="minorEastAsia"/>
                <w:szCs w:val="21"/>
              </w:rPr>
              <w:t>出所後2年以内に再び刑務所に入所する者等の割合を今後10年間で20%以上減少させる｣)を設定</w:t>
            </w:r>
          </w:p>
        </w:tc>
      </w:tr>
      <w:tr w:rsidR="00243066" w:rsidRPr="009C56DB" w:rsidTr="00243066">
        <w:tc>
          <w:tcPr>
            <w:tcW w:w="1701" w:type="dxa"/>
            <w:vAlign w:val="center"/>
          </w:tcPr>
          <w:p w:rsidR="00243066" w:rsidRPr="00243066" w:rsidRDefault="00243066" w:rsidP="00721B4D">
            <w:pPr>
              <w:rPr>
                <w:rFonts w:asciiTheme="minorEastAsia" w:hAnsiTheme="minorEastAsia"/>
                <w:szCs w:val="21"/>
              </w:rPr>
            </w:pPr>
            <w:r w:rsidRPr="00243066">
              <w:rPr>
                <w:rFonts w:asciiTheme="minorEastAsia" w:hAnsiTheme="minorEastAsia" w:hint="eastAsia"/>
                <w:szCs w:val="21"/>
              </w:rPr>
              <w:t>平成26年12月</w:t>
            </w:r>
          </w:p>
        </w:tc>
        <w:tc>
          <w:tcPr>
            <w:tcW w:w="7938" w:type="dxa"/>
            <w:vAlign w:val="center"/>
          </w:tcPr>
          <w:p w:rsidR="00243066" w:rsidRPr="00243066" w:rsidRDefault="00243066" w:rsidP="00721B4D">
            <w:pPr>
              <w:rPr>
                <w:rFonts w:asciiTheme="minorEastAsia" w:hAnsiTheme="minorEastAsia"/>
                <w:szCs w:val="21"/>
              </w:rPr>
            </w:pPr>
            <w:r w:rsidRPr="00243066">
              <w:rPr>
                <w:rFonts w:asciiTheme="minorEastAsia" w:hAnsiTheme="minorEastAsia" w:hint="eastAsia"/>
                <w:szCs w:val="21"/>
              </w:rPr>
              <w:t>○犯罪対策閣僚会議</w:t>
            </w:r>
            <w:r w:rsidR="004A3547">
              <w:rPr>
                <w:rFonts w:asciiTheme="minorEastAsia" w:hAnsiTheme="minorEastAsia" w:hint="eastAsia"/>
                <w:szCs w:val="21"/>
              </w:rPr>
              <w:t>で</w:t>
            </w:r>
            <w:r w:rsidRPr="00243066">
              <w:rPr>
                <w:rFonts w:asciiTheme="minorEastAsia" w:hAnsiTheme="minorEastAsia" w:hint="eastAsia"/>
                <w:szCs w:val="21"/>
              </w:rPr>
              <w:t>「宣言：犯罪に戻らない・戻さない」を決定</w:t>
            </w:r>
          </w:p>
        </w:tc>
      </w:tr>
      <w:tr w:rsidR="00243066" w:rsidRPr="009C56DB" w:rsidTr="00243066">
        <w:tc>
          <w:tcPr>
            <w:tcW w:w="1701" w:type="dxa"/>
            <w:vAlign w:val="center"/>
          </w:tcPr>
          <w:p w:rsidR="00243066" w:rsidRPr="00243066" w:rsidRDefault="00243066" w:rsidP="00721B4D">
            <w:pPr>
              <w:rPr>
                <w:rFonts w:asciiTheme="minorEastAsia" w:hAnsiTheme="minorEastAsia"/>
                <w:szCs w:val="21"/>
              </w:rPr>
            </w:pPr>
            <w:r w:rsidRPr="00243066">
              <w:rPr>
                <w:rFonts w:asciiTheme="minorEastAsia" w:hAnsiTheme="minorEastAsia" w:hint="eastAsia"/>
                <w:szCs w:val="21"/>
              </w:rPr>
              <w:t>平成28年7月</w:t>
            </w:r>
          </w:p>
        </w:tc>
        <w:tc>
          <w:tcPr>
            <w:tcW w:w="7938" w:type="dxa"/>
            <w:vAlign w:val="center"/>
          </w:tcPr>
          <w:p w:rsidR="00243066" w:rsidRPr="00243066" w:rsidRDefault="00243066" w:rsidP="00721B4D">
            <w:pPr>
              <w:rPr>
                <w:rFonts w:asciiTheme="minorEastAsia" w:hAnsiTheme="minorEastAsia"/>
                <w:szCs w:val="21"/>
              </w:rPr>
            </w:pPr>
            <w:r w:rsidRPr="00243066">
              <w:rPr>
                <w:rFonts w:asciiTheme="minorEastAsia" w:hAnsiTheme="minorEastAsia" w:hint="eastAsia"/>
                <w:szCs w:val="21"/>
              </w:rPr>
              <w:t>○犯罪対策閣僚会議</w:t>
            </w:r>
            <w:r w:rsidR="004A3547">
              <w:rPr>
                <w:rFonts w:asciiTheme="minorEastAsia" w:hAnsiTheme="minorEastAsia" w:hint="eastAsia"/>
                <w:szCs w:val="21"/>
              </w:rPr>
              <w:t>で</w:t>
            </w:r>
            <w:r w:rsidRPr="00243066">
              <w:rPr>
                <w:rFonts w:asciiTheme="minorEastAsia" w:hAnsiTheme="minorEastAsia" w:hint="eastAsia"/>
                <w:szCs w:val="21"/>
              </w:rPr>
              <w:t>「薬物依存者・高齢犯罪者等の再犯防止緊急対策」を決定</w:t>
            </w:r>
          </w:p>
        </w:tc>
      </w:tr>
      <w:tr w:rsidR="00243066" w:rsidRPr="009C56DB" w:rsidTr="00243066">
        <w:tc>
          <w:tcPr>
            <w:tcW w:w="1701" w:type="dxa"/>
            <w:vAlign w:val="center"/>
          </w:tcPr>
          <w:p w:rsidR="00243066" w:rsidRPr="00546458" w:rsidRDefault="00243066" w:rsidP="00721B4D">
            <w:pPr>
              <w:rPr>
                <w:rFonts w:asciiTheme="minorEastAsia" w:hAnsiTheme="minorEastAsia"/>
                <w:szCs w:val="21"/>
              </w:rPr>
            </w:pPr>
            <w:r w:rsidRPr="00546458">
              <w:rPr>
                <w:rFonts w:asciiTheme="minorEastAsia" w:hAnsiTheme="minorEastAsia" w:hint="eastAsia"/>
                <w:szCs w:val="21"/>
              </w:rPr>
              <w:t>平成28年12月</w:t>
            </w:r>
          </w:p>
        </w:tc>
        <w:tc>
          <w:tcPr>
            <w:tcW w:w="7938" w:type="dxa"/>
            <w:vAlign w:val="center"/>
          </w:tcPr>
          <w:p w:rsidR="00243066" w:rsidRDefault="00243066" w:rsidP="00721B4D">
            <w:pPr>
              <w:rPr>
                <w:rFonts w:asciiTheme="majorEastAsia" w:eastAsiaTheme="majorEastAsia" w:hAnsiTheme="majorEastAsia"/>
                <w:szCs w:val="21"/>
              </w:rPr>
            </w:pPr>
            <w:r w:rsidRPr="0092214D">
              <w:rPr>
                <w:rFonts w:asciiTheme="majorEastAsia" w:eastAsiaTheme="majorEastAsia" w:hAnsiTheme="majorEastAsia" w:hint="eastAsia"/>
                <w:szCs w:val="21"/>
              </w:rPr>
              <w:t>○「再犯の防止等の推進に関する法律」</w:t>
            </w:r>
            <w:r w:rsidR="004A3547">
              <w:rPr>
                <w:rFonts w:asciiTheme="majorEastAsia" w:eastAsiaTheme="majorEastAsia" w:hAnsiTheme="majorEastAsia" w:hint="eastAsia"/>
                <w:szCs w:val="21"/>
              </w:rPr>
              <w:t>が</w:t>
            </w:r>
            <w:r w:rsidRPr="0092214D">
              <w:rPr>
                <w:rFonts w:asciiTheme="majorEastAsia" w:eastAsiaTheme="majorEastAsia" w:hAnsiTheme="majorEastAsia" w:hint="eastAsia"/>
                <w:szCs w:val="21"/>
              </w:rPr>
              <w:t>公布・施行</w:t>
            </w:r>
          </w:p>
          <w:p w:rsidR="0015125D" w:rsidRPr="00243066" w:rsidRDefault="0015125D" w:rsidP="00721B4D">
            <w:pPr>
              <w:rPr>
                <w:rFonts w:asciiTheme="minorEastAsia" w:hAnsiTheme="minorEastAsia"/>
                <w:szCs w:val="21"/>
              </w:rPr>
            </w:pPr>
            <w:r w:rsidRPr="00E27C72">
              <w:rPr>
                <w:rFonts w:asciiTheme="minorEastAsia" w:hAnsiTheme="minorEastAsia"/>
                <w:szCs w:val="21"/>
              </w:rPr>
              <w:t>･</w:t>
            </w:r>
            <w:r w:rsidRPr="00992B1A">
              <w:rPr>
                <w:rFonts w:asciiTheme="minorEastAsia" w:hAnsiTheme="minorEastAsia"/>
                <w:szCs w:val="21"/>
                <w:u w:val="thick"/>
              </w:rPr>
              <w:t>再犯の防止等に関する施策を策定･実施する責務</w:t>
            </w:r>
            <w:r w:rsidRPr="00243066">
              <w:rPr>
                <w:rFonts w:asciiTheme="minorEastAsia" w:hAnsiTheme="minorEastAsia"/>
                <w:szCs w:val="21"/>
              </w:rPr>
              <w:t>(国及び</w:t>
            </w:r>
            <w:r w:rsidRPr="00992B1A">
              <w:rPr>
                <w:rFonts w:asciiTheme="minorEastAsia" w:hAnsiTheme="minorEastAsia"/>
                <w:szCs w:val="21"/>
                <w:u w:val="thick"/>
              </w:rPr>
              <w:t>地方公共団体</w:t>
            </w:r>
            <w:r w:rsidRPr="00243066">
              <w:rPr>
                <w:rFonts w:asciiTheme="minorEastAsia" w:hAnsiTheme="minorEastAsia"/>
                <w:szCs w:val="21"/>
              </w:rPr>
              <w:t>)(第4条)</w:t>
            </w:r>
          </w:p>
          <w:p w:rsidR="0015125D" w:rsidRPr="00243066" w:rsidRDefault="0015125D" w:rsidP="00721B4D">
            <w:pPr>
              <w:rPr>
                <w:rFonts w:asciiTheme="minorEastAsia" w:hAnsiTheme="minorEastAsia"/>
                <w:szCs w:val="21"/>
              </w:rPr>
            </w:pPr>
            <w:r w:rsidRPr="00243066">
              <w:rPr>
                <w:rFonts w:asciiTheme="minorEastAsia" w:hAnsiTheme="minorEastAsia"/>
                <w:szCs w:val="21"/>
              </w:rPr>
              <w:t>･再犯防止推進計画を策定する義務(国)(第7条)</w:t>
            </w:r>
          </w:p>
          <w:p w:rsidR="0015125D" w:rsidRPr="00243066" w:rsidRDefault="0015125D" w:rsidP="00721B4D">
            <w:pPr>
              <w:rPr>
                <w:rFonts w:asciiTheme="minorEastAsia" w:hAnsiTheme="minorEastAsia"/>
                <w:szCs w:val="21"/>
              </w:rPr>
            </w:pPr>
            <w:r w:rsidRPr="00243066">
              <w:rPr>
                <w:rFonts w:asciiTheme="minorEastAsia" w:hAnsiTheme="minorEastAsia"/>
                <w:szCs w:val="21"/>
              </w:rPr>
              <w:t>･</w:t>
            </w:r>
            <w:r w:rsidRPr="00992B1A">
              <w:rPr>
                <w:rFonts w:asciiTheme="minorEastAsia" w:hAnsiTheme="minorEastAsia"/>
                <w:szCs w:val="21"/>
                <w:u w:val="thick"/>
              </w:rPr>
              <w:t>地方再犯防止推進計画を策定する努力義務(地方公共団体)</w:t>
            </w:r>
            <w:r w:rsidRPr="00E27C72">
              <w:rPr>
                <w:rFonts w:asciiTheme="minorEastAsia" w:hAnsiTheme="minorEastAsia"/>
                <w:szCs w:val="21"/>
              </w:rPr>
              <w:t>(第8条)</w:t>
            </w:r>
          </w:p>
          <w:p w:rsidR="0015125D" w:rsidRPr="00243066" w:rsidRDefault="0015125D" w:rsidP="00721B4D">
            <w:pPr>
              <w:rPr>
                <w:rFonts w:asciiTheme="minorEastAsia" w:hAnsiTheme="minorEastAsia"/>
                <w:szCs w:val="21"/>
              </w:rPr>
            </w:pPr>
            <w:r w:rsidRPr="00243066">
              <w:rPr>
                <w:rFonts w:asciiTheme="minorEastAsia" w:hAnsiTheme="minorEastAsia"/>
                <w:szCs w:val="21"/>
              </w:rPr>
              <w:t>･国の基本的施策(7つの重点分野の施策)(第11</w:t>
            </w:r>
            <w:r w:rsidRPr="00243066">
              <w:rPr>
                <w:rFonts w:asciiTheme="minorEastAsia" w:hAnsiTheme="minorEastAsia" w:hint="eastAsia"/>
                <w:szCs w:val="21"/>
              </w:rPr>
              <w:t>～</w:t>
            </w:r>
            <w:r w:rsidRPr="00243066">
              <w:rPr>
                <w:rFonts w:asciiTheme="minorEastAsia" w:hAnsiTheme="minorEastAsia"/>
                <w:szCs w:val="21"/>
              </w:rPr>
              <w:t>23条)</w:t>
            </w:r>
          </w:p>
          <w:p w:rsidR="0015125D" w:rsidRPr="0015125D" w:rsidRDefault="0015125D" w:rsidP="00721B4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3066">
              <w:rPr>
                <w:rFonts w:asciiTheme="minorEastAsia" w:hAnsiTheme="minorEastAsia"/>
                <w:szCs w:val="21"/>
              </w:rPr>
              <w:t>･</w:t>
            </w:r>
            <w:r w:rsidRPr="00992B1A">
              <w:rPr>
                <w:rFonts w:asciiTheme="minorEastAsia" w:hAnsiTheme="minorEastAsia"/>
                <w:szCs w:val="21"/>
                <w:u w:val="thick"/>
              </w:rPr>
              <w:t>地方公共団体の基本的施策(国と同様の基本的施策等の実施の努力義務)</w:t>
            </w:r>
            <w:r w:rsidRPr="00243066">
              <w:rPr>
                <w:rFonts w:asciiTheme="minorEastAsia" w:hAnsiTheme="minorEastAsia"/>
                <w:szCs w:val="21"/>
              </w:rPr>
              <w:t>(第24条)</w:t>
            </w:r>
          </w:p>
        </w:tc>
      </w:tr>
      <w:tr w:rsidR="00243066" w:rsidRPr="009C56DB" w:rsidTr="00243066">
        <w:tc>
          <w:tcPr>
            <w:tcW w:w="1701" w:type="dxa"/>
            <w:vAlign w:val="center"/>
          </w:tcPr>
          <w:p w:rsidR="00243066" w:rsidRPr="00546458" w:rsidRDefault="00243066" w:rsidP="00721B4D">
            <w:pPr>
              <w:rPr>
                <w:rFonts w:asciiTheme="minorEastAsia" w:hAnsiTheme="minorEastAsia"/>
                <w:szCs w:val="21"/>
              </w:rPr>
            </w:pPr>
            <w:r w:rsidRPr="00546458">
              <w:rPr>
                <w:rFonts w:asciiTheme="minorEastAsia" w:hAnsiTheme="minorEastAsia" w:hint="eastAsia"/>
                <w:szCs w:val="21"/>
              </w:rPr>
              <w:t>平成29年12月</w:t>
            </w:r>
          </w:p>
        </w:tc>
        <w:tc>
          <w:tcPr>
            <w:tcW w:w="7938" w:type="dxa"/>
            <w:vAlign w:val="center"/>
          </w:tcPr>
          <w:p w:rsidR="00243066" w:rsidRPr="0092214D" w:rsidRDefault="00CA4EA4" w:rsidP="002C1E3D">
            <w:pPr>
              <w:rPr>
                <w:rFonts w:asciiTheme="majorEastAsia" w:eastAsiaTheme="majorEastAsia" w:hAnsiTheme="majorEastAsia"/>
                <w:szCs w:val="21"/>
              </w:rPr>
            </w:pPr>
            <w:r w:rsidRPr="0092214D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243066" w:rsidRPr="0092214D">
              <w:rPr>
                <w:rFonts w:asciiTheme="majorEastAsia" w:eastAsiaTheme="majorEastAsia" w:hAnsiTheme="majorEastAsia" w:hint="eastAsia"/>
                <w:szCs w:val="21"/>
              </w:rPr>
              <w:t>「再犯防止推進計画」</w:t>
            </w:r>
            <w:r w:rsidR="001F6310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243066" w:rsidRPr="0092214D">
              <w:rPr>
                <w:rFonts w:asciiTheme="majorEastAsia" w:eastAsiaTheme="majorEastAsia" w:hAnsiTheme="majorEastAsia" w:hint="eastAsia"/>
                <w:szCs w:val="21"/>
              </w:rPr>
              <w:t>閣議決定</w:t>
            </w:r>
            <w:r w:rsidR="000C72F6">
              <w:rPr>
                <w:rFonts w:asciiTheme="majorEastAsia" w:eastAsiaTheme="majorEastAsia" w:hAnsiTheme="majorEastAsia" w:hint="eastAsia"/>
                <w:szCs w:val="21"/>
              </w:rPr>
              <w:t>（概要は</w:t>
            </w:r>
            <w:r w:rsidR="002C1E3D" w:rsidRPr="002C1E3D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参考資料３</w:t>
            </w:r>
            <w:r w:rsidR="000C72F6">
              <w:rPr>
                <w:rFonts w:asciiTheme="majorEastAsia" w:eastAsiaTheme="majorEastAsia" w:hAnsiTheme="majorEastAsia" w:hint="eastAsia"/>
                <w:szCs w:val="21"/>
              </w:rPr>
              <w:t>のとおり）</w:t>
            </w:r>
          </w:p>
        </w:tc>
      </w:tr>
    </w:tbl>
    <w:p w:rsidR="000C72F6" w:rsidRDefault="000C72F6" w:rsidP="002E44B6">
      <w:pPr>
        <w:spacing w:line="-160" w:lineRule="auto"/>
        <w:rPr>
          <w:rFonts w:asciiTheme="minorEastAsia" w:hAnsiTheme="minorEastAsia"/>
          <w:sz w:val="24"/>
          <w:szCs w:val="24"/>
        </w:rPr>
      </w:pPr>
    </w:p>
    <w:p w:rsidR="000F15E6" w:rsidRPr="000F15E6" w:rsidRDefault="000C72F6" w:rsidP="000F15E6">
      <w:pPr>
        <w:ind w:rightChars="-200" w:right="-420"/>
        <w:rPr>
          <w:rFonts w:asciiTheme="minorEastAsia" w:hAnsiTheme="minorEastAsia"/>
          <w:sz w:val="18"/>
        </w:rPr>
      </w:pPr>
      <w:r w:rsidRPr="006F71B3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0F15E6" w:rsidRPr="006F71B3">
        <w:rPr>
          <w:rFonts w:asciiTheme="majorEastAsia" w:eastAsiaTheme="majorEastAsia" w:hAnsiTheme="majorEastAsia"/>
          <w:sz w:val="24"/>
          <w:szCs w:val="24"/>
        </w:rPr>
        <w:t>富山県におけるこれまでの経緯</w:t>
      </w:r>
      <w:r w:rsidR="000F15E6">
        <w:rPr>
          <w:rFonts w:asciiTheme="majorEastAsia" w:eastAsiaTheme="majorEastAsia" w:hAnsiTheme="majorEastAsia"/>
          <w:sz w:val="24"/>
          <w:szCs w:val="24"/>
        </w:rPr>
        <w:t>(計画策定に向けた勉強会の開催)</w:t>
      </w:r>
      <w:r w:rsidR="000F15E6" w:rsidRPr="000F15E6">
        <w:rPr>
          <w:rFonts w:asciiTheme="minorEastAsia" w:hAnsiTheme="minorEastAsia"/>
          <w:sz w:val="20"/>
          <w:szCs w:val="20"/>
        </w:rPr>
        <w:t>※事務局 富山保護観察所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1276"/>
        <w:gridCol w:w="4677"/>
        <w:gridCol w:w="3686"/>
      </w:tblGrid>
      <w:tr w:rsidR="002E44B6" w:rsidRPr="00DF2364" w:rsidTr="002E44B6">
        <w:tc>
          <w:tcPr>
            <w:tcW w:w="1276" w:type="dxa"/>
          </w:tcPr>
          <w:p w:rsidR="002E44B6" w:rsidRPr="00DF2364" w:rsidRDefault="002E44B6" w:rsidP="002E44B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2364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4677" w:type="dxa"/>
          </w:tcPr>
          <w:p w:rsidR="002E44B6" w:rsidRPr="00DF2364" w:rsidRDefault="002E44B6" w:rsidP="002E44B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2364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3686" w:type="dxa"/>
          </w:tcPr>
          <w:p w:rsidR="002E44B6" w:rsidRPr="00DF2364" w:rsidRDefault="002E44B6" w:rsidP="002E44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参加者</w:t>
            </w:r>
          </w:p>
        </w:tc>
      </w:tr>
      <w:tr w:rsidR="002E44B6" w:rsidRPr="00DF2364" w:rsidTr="002E44B6">
        <w:trPr>
          <w:trHeight w:hRule="exact" w:val="397"/>
        </w:trPr>
        <w:tc>
          <w:tcPr>
            <w:tcW w:w="1276" w:type="dxa"/>
          </w:tcPr>
          <w:p w:rsidR="002E44B6" w:rsidRPr="00DF2364" w:rsidRDefault="002E44B6" w:rsidP="002E44B6">
            <w:pPr>
              <w:jc w:val="left"/>
              <w:rPr>
                <w:rFonts w:asciiTheme="minorEastAsia" w:hAnsiTheme="minorEastAsia"/>
                <w:sz w:val="22"/>
              </w:rPr>
            </w:pPr>
            <w:r w:rsidRPr="00DF2364">
              <w:rPr>
                <w:rFonts w:asciiTheme="minorEastAsia" w:hAnsiTheme="minorEastAsia" w:hint="eastAsia"/>
                <w:sz w:val="22"/>
                <w:szCs w:val="24"/>
              </w:rPr>
              <w:t>H30.9.27</w:t>
            </w:r>
          </w:p>
        </w:tc>
        <w:tc>
          <w:tcPr>
            <w:tcW w:w="4677" w:type="dxa"/>
          </w:tcPr>
          <w:p w:rsidR="002E44B6" w:rsidRPr="00DF2364" w:rsidRDefault="002E44B6" w:rsidP="002E44B6">
            <w:pPr>
              <w:rPr>
                <w:rFonts w:asciiTheme="minorEastAsia" w:hAnsiTheme="minorEastAsia"/>
                <w:sz w:val="22"/>
              </w:rPr>
            </w:pPr>
            <w:r w:rsidRPr="00DF2364">
              <w:rPr>
                <w:rFonts w:asciiTheme="minorEastAsia" w:hAnsiTheme="minorEastAsia" w:hint="eastAsia"/>
                <w:sz w:val="22"/>
                <w:szCs w:val="24"/>
              </w:rPr>
              <w:t>第１回勉強会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（講義）</w:t>
            </w:r>
          </w:p>
        </w:tc>
        <w:tc>
          <w:tcPr>
            <w:tcW w:w="3686" w:type="dxa"/>
          </w:tcPr>
          <w:p w:rsidR="002E44B6" w:rsidRPr="00DF2364" w:rsidRDefault="002E44B6" w:rsidP="002E44B6">
            <w:pPr>
              <w:rPr>
                <w:rFonts w:asciiTheme="minorEastAsia" w:hAnsiTheme="minorEastAsia"/>
                <w:sz w:val="22"/>
              </w:rPr>
            </w:pPr>
            <w:r w:rsidRPr="00DF2364">
              <w:rPr>
                <w:rFonts w:asciiTheme="minorEastAsia" w:hAnsiTheme="minorEastAsia" w:hint="eastAsia"/>
                <w:sz w:val="22"/>
                <w:szCs w:val="24"/>
              </w:rPr>
              <w:t>法務省、県</w:t>
            </w:r>
          </w:p>
        </w:tc>
      </w:tr>
      <w:tr w:rsidR="002E44B6" w:rsidRPr="00DF2364" w:rsidTr="002E44B6">
        <w:trPr>
          <w:trHeight w:hRule="exact" w:val="397"/>
        </w:trPr>
        <w:tc>
          <w:tcPr>
            <w:tcW w:w="1276" w:type="dxa"/>
          </w:tcPr>
          <w:p w:rsidR="002E44B6" w:rsidRPr="00DF2364" w:rsidRDefault="002E44B6" w:rsidP="002E44B6">
            <w:pPr>
              <w:jc w:val="left"/>
              <w:rPr>
                <w:rFonts w:asciiTheme="minorEastAsia" w:hAnsiTheme="minorEastAsia"/>
                <w:sz w:val="22"/>
              </w:rPr>
            </w:pPr>
            <w:r w:rsidRPr="00DF2364">
              <w:rPr>
                <w:rFonts w:asciiTheme="minorEastAsia" w:hAnsiTheme="minorEastAsia" w:hint="eastAsia"/>
                <w:sz w:val="22"/>
                <w:szCs w:val="24"/>
              </w:rPr>
              <w:t>H30.10.26</w:t>
            </w:r>
          </w:p>
        </w:tc>
        <w:tc>
          <w:tcPr>
            <w:tcW w:w="4677" w:type="dxa"/>
          </w:tcPr>
          <w:p w:rsidR="002E44B6" w:rsidRPr="00DF2364" w:rsidRDefault="002E44B6" w:rsidP="002E44B6">
            <w:pPr>
              <w:rPr>
                <w:rFonts w:asciiTheme="minorEastAsia" w:hAnsiTheme="minorEastAsia"/>
                <w:sz w:val="22"/>
              </w:rPr>
            </w:pPr>
            <w:r w:rsidRPr="00DF2364">
              <w:rPr>
                <w:rFonts w:asciiTheme="minorEastAsia" w:hAnsiTheme="minorEastAsia" w:hint="eastAsia"/>
                <w:sz w:val="22"/>
                <w:szCs w:val="24"/>
              </w:rPr>
              <w:t>第２回勉強会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（矯正施設視察）</w:t>
            </w:r>
          </w:p>
        </w:tc>
        <w:tc>
          <w:tcPr>
            <w:tcW w:w="3686" w:type="dxa"/>
          </w:tcPr>
          <w:p w:rsidR="002E44B6" w:rsidRPr="00DF2364" w:rsidRDefault="002E44B6" w:rsidP="002E44B6">
            <w:pPr>
              <w:rPr>
                <w:rFonts w:asciiTheme="minorEastAsia" w:hAnsiTheme="minorEastAsia"/>
                <w:sz w:val="22"/>
              </w:rPr>
            </w:pPr>
            <w:r w:rsidRPr="00DF2364">
              <w:rPr>
                <w:rFonts w:asciiTheme="minorEastAsia" w:hAnsiTheme="minorEastAsia" w:hint="eastAsia"/>
                <w:sz w:val="22"/>
                <w:szCs w:val="24"/>
              </w:rPr>
              <w:t>法務省、県</w:t>
            </w:r>
          </w:p>
        </w:tc>
      </w:tr>
      <w:tr w:rsidR="002E44B6" w:rsidRPr="00DF2364" w:rsidTr="002E44B6">
        <w:trPr>
          <w:trHeight w:hRule="exact" w:val="397"/>
        </w:trPr>
        <w:tc>
          <w:tcPr>
            <w:tcW w:w="1276" w:type="dxa"/>
          </w:tcPr>
          <w:p w:rsidR="002E44B6" w:rsidRPr="00DF2364" w:rsidRDefault="002E44B6" w:rsidP="002E44B6">
            <w:pPr>
              <w:jc w:val="left"/>
              <w:rPr>
                <w:rFonts w:asciiTheme="minorEastAsia" w:hAnsiTheme="minorEastAsia"/>
                <w:sz w:val="22"/>
              </w:rPr>
            </w:pPr>
            <w:r w:rsidRPr="00DF2364">
              <w:rPr>
                <w:rFonts w:asciiTheme="minorEastAsia" w:hAnsiTheme="minorEastAsia" w:hint="eastAsia"/>
                <w:sz w:val="22"/>
                <w:szCs w:val="24"/>
              </w:rPr>
              <w:t>H30.12.25</w:t>
            </w:r>
          </w:p>
        </w:tc>
        <w:tc>
          <w:tcPr>
            <w:tcW w:w="4677" w:type="dxa"/>
          </w:tcPr>
          <w:p w:rsidR="002E44B6" w:rsidRPr="00DF2364" w:rsidRDefault="002E44B6" w:rsidP="002E44B6">
            <w:pPr>
              <w:rPr>
                <w:rFonts w:asciiTheme="minorEastAsia" w:hAnsiTheme="minorEastAsia"/>
                <w:sz w:val="22"/>
                <w:szCs w:val="24"/>
              </w:rPr>
            </w:pPr>
            <w:r w:rsidRPr="00DF2364">
              <w:rPr>
                <w:rFonts w:asciiTheme="minorEastAsia" w:hAnsiTheme="minorEastAsia" w:hint="eastAsia"/>
                <w:sz w:val="22"/>
                <w:szCs w:val="24"/>
              </w:rPr>
              <w:t>第３回勉強会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（民間協力団体の講話）</w:t>
            </w:r>
          </w:p>
        </w:tc>
        <w:tc>
          <w:tcPr>
            <w:tcW w:w="3686" w:type="dxa"/>
          </w:tcPr>
          <w:p w:rsidR="002E44B6" w:rsidRPr="00DF2364" w:rsidRDefault="002E44B6" w:rsidP="002E44B6">
            <w:pPr>
              <w:rPr>
                <w:rFonts w:asciiTheme="minorEastAsia" w:hAnsiTheme="minorEastAsia"/>
                <w:sz w:val="22"/>
              </w:rPr>
            </w:pPr>
            <w:r w:rsidRPr="00DF2364">
              <w:rPr>
                <w:rFonts w:asciiTheme="minorEastAsia" w:hAnsiTheme="minorEastAsia" w:hint="eastAsia"/>
                <w:sz w:val="22"/>
                <w:szCs w:val="24"/>
              </w:rPr>
              <w:t>法務省、県</w:t>
            </w:r>
          </w:p>
        </w:tc>
      </w:tr>
      <w:tr w:rsidR="002E44B6" w:rsidRPr="00DF2364" w:rsidTr="002E44B6">
        <w:trPr>
          <w:trHeight w:hRule="exact" w:val="410"/>
        </w:trPr>
        <w:tc>
          <w:tcPr>
            <w:tcW w:w="1276" w:type="dxa"/>
          </w:tcPr>
          <w:p w:rsidR="002E44B6" w:rsidRPr="00DF2364" w:rsidRDefault="002E44B6" w:rsidP="002E44B6">
            <w:pPr>
              <w:jc w:val="left"/>
              <w:rPr>
                <w:rFonts w:asciiTheme="minorEastAsia" w:hAnsiTheme="minorEastAsia"/>
                <w:sz w:val="22"/>
              </w:rPr>
            </w:pPr>
            <w:r w:rsidRPr="00DF2364">
              <w:rPr>
                <w:rFonts w:asciiTheme="minorEastAsia" w:hAnsiTheme="minorEastAsia" w:hint="eastAsia"/>
                <w:sz w:val="22"/>
                <w:szCs w:val="24"/>
              </w:rPr>
              <w:t>H31.3.22</w:t>
            </w:r>
          </w:p>
        </w:tc>
        <w:tc>
          <w:tcPr>
            <w:tcW w:w="4677" w:type="dxa"/>
          </w:tcPr>
          <w:p w:rsidR="002E44B6" w:rsidRPr="00DF2364" w:rsidRDefault="002E44B6" w:rsidP="002E44B6">
            <w:pPr>
              <w:rPr>
                <w:rFonts w:asciiTheme="minorEastAsia" w:hAnsiTheme="minorEastAsia"/>
                <w:sz w:val="22"/>
              </w:rPr>
            </w:pPr>
            <w:r w:rsidRPr="00DF2364">
              <w:rPr>
                <w:rFonts w:asciiTheme="minorEastAsia" w:hAnsiTheme="minorEastAsia" w:hint="eastAsia"/>
                <w:sz w:val="22"/>
                <w:szCs w:val="24"/>
              </w:rPr>
              <w:t>第４回勉強会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（県における取組み）</w:t>
            </w:r>
          </w:p>
        </w:tc>
        <w:tc>
          <w:tcPr>
            <w:tcW w:w="3686" w:type="dxa"/>
          </w:tcPr>
          <w:p w:rsidR="002E44B6" w:rsidRPr="002E44B6" w:rsidRDefault="002E44B6" w:rsidP="002E44B6">
            <w:pPr>
              <w:rPr>
                <w:rFonts w:asciiTheme="minorEastAsia" w:hAnsiTheme="minorEastAsia"/>
                <w:sz w:val="22"/>
              </w:rPr>
            </w:pPr>
            <w:r w:rsidRPr="002E44B6">
              <w:rPr>
                <w:rFonts w:asciiTheme="minorEastAsia" w:hAnsiTheme="minorEastAsia" w:hint="eastAsia"/>
                <w:sz w:val="22"/>
                <w:szCs w:val="24"/>
              </w:rPr>
              <w:t>法務省、県、市町村、保護司会</w:t>
            </w:r>
          </w:p>
        </w:tc>
      </w:tr>
    </w:tbl>
    <w:p w:rsidR="002E44B6" w:rsidRDefault="002E44B6" w:rsidP="002E44B6">
      <w:pPr>
        <w:spacing w:line="160" w:lineRule="exact"/>
        <w:rPr>
          <w:rFonts w:asciiTheme="majorEastAsia" w:eastAsiaTheme="majorEastAsia" w:hAnsiTheme="majorEastAsia"/>
          <w:sz w:val="24"/>
        </w:rPr>
      </w:pPr>
    </w:p>
    <w:p w:rsidR="000C72F6" w:rsidRPr="0092770C" w:rsidRDefault="000C72F6" w:rsidP="000C72F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92770C">
        <w:rPr>
          <w:rFonts w:asciiTheme="majorEastAsia" w:eastAsiaTheme="majorEastAsia" w:hAnsiTheme="majorEastAsia" w:hint="eastAsia"/>
          <w:sz w:val="24"/>
        </w:rPr>
        <w:t xml:space="preserve">　計画策定の</w:t>
      </w:r>
      <w:r>
        <w:rPr>
          <w:rFonts w:asciiTheme="majorEastAsia" w:eastAsiaTheme="majorEastAsia" w:hAnsiTheme="majorEastAsia" w:hint="eastAsia"/>
          <w:sz w:val="24"/>
        </w:rPr>
        <w:t>位置付け、</w:t>
      </w:r>
      <w:r w:rsidRPr="0092770C">
        <w:rPr>
          <w:rFonts w:asciiTheme="majorEastAsia" w:eastAsiaTheme="majorEastAsia" w:hAnsiTheme="majorEastAsia" w:hint="eastAsia"/>
          <w:sz w:val="24"/>
        </w:rPr>
        <w:t>考え方</w:t>
      </w:r>
      <w:r>
        <w:rPr>
          <w:rFonts w:asciiTheme="majorEastAsia" w:eastAsiaTheme="majorEastAsia" w:hAnsiTheme="majorEastAsia" w:hint="eastAsia"/>
          <w:sz w:val="24"/>
        </w:rPr>
        <w:t>等</w:t>
      </w:r>
    </w:p>
    <w:p w:rsidR="000C72F6" w:rsidRPr="00F31281" w:rsidRDefault="000C72F6" w:rsidP="000C72F6">
      <w:pPr>
        <w:ind w:leftChars="100" w:left="2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4A6C46">
        <w:rPr>
          <w:rFonts w:asciiTheme="minorEastAsia" w:hAnsiTheme="minorEastAsia" w:hint="eastAsia"/>
          <w:sz w:val="24"/>
          <w:szCs w:val="24"/>
        </w:rPr>
        <w:t>再犯の防止等の推進に関する法律</w:t>
      </w:r>
      <w:r>
        <w:rPr>
          <w:rFonts w:asciiTheme="minorEastAsia" w:hAnsiTheme="minorEastAsia" w:hint="eastAsia"/>
          <w:sz w:val="24"/>
          <w:szCs w:val="24"/>
        </w:rPr>
        <w:t>第８条に基づく地方再犯防止推進計画</w:t>
      </w:r>
    </w:p>
    <w:p w:rsidR="000C72F6" w:rsidRDefault="000C72F6" w:rsidP="000C72F6">
      <w:pPr>
        <w:ind w:leftChars="100" w:left="210"/>
        <w:jc w:val="left"/>
        <w:rPr>
          <w:rFonts w:asciiTheme="minorEastAsia" w:hAnsiTheme="minorEastAsia"/>
          <w:sz w:val="24"/>
        </w:rPr>
      </w:pPr>
      <w:r w:rsidRPr="001E4F8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CF6F9F8" wp14:editId="79E061ED">
                <wp:simplePos x="0" y="0"/>
                <wp:positionH relativeFrom="column">
                  <wp:posOffset>394335</wp:posOffset>
                </wp:positionH>
                <wp:positionV relativeFrom="paragraph">
                  <wp:posOffset>220981</wp:posOffset>
                </wp:positionV>
                <wp:extent cx="5791200" cy="104775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2F6" w:rsidRPr="004F0F04" w:rsidRDefault="000C72F6" w:rsidP="000C72F6">
                            <w:pPr>
                              <w:ind w:leftChars="-52" w:left="101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F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05pt;margin-top:17.4pt;width:456pt;height:82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" strokecolor="black [3213]">
                <v:stroke dashstyle="3 1"/>
                <v:textbox>
                  <w:txbxContent>
                    <w:p w:rsidR="000C72F6" w:rsidRPr="004F0F04" w:rsidRDefault="000C72F6" w:rsidP="000C72F6">
                      <w:pPr>
                        <w:ind w:leftChars="-52" w:left="101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</w:rPr>
        <w:t>・国の再犯防止推進計画を勘案し、本県の状況に応じた施策を推進する計画</w:t>
      </w:r>
    </w:p>
    <w:p w:rsidR="000C72F6" w:rsidRPr="00DF2364" w:rsidRDefault="000C72F6" w:rsidP="000C72F6">
      <w:pPr>
        <w:ind w:leftChars="199" w:left="418" w:firstLineChars="100" w:firstLine="210"/>
        <w:rPr>
          <w:rFonts w:asciiTheme="majorEastAsia" w:eastAsiaTheme="majorEastAsia" w:hAnsiTheme="majorEastAsia"/>
          <w:szCs w:val="21"/>
        </w:rPr>
      </w:pPr>
      <w:r w:rsidRPr="00DF2364">
        <w:rPr>
          <w:rFonts w:asciiTheme="majorEastAsia" w:eastAsiaTheme="majorEastAsia" w:hAnsiTheme="majorEastAsia" w:hint="eastAsia"/>
          <w:szCs w:val="21"/>
        </w:rPr>
        <w:t>＜参考＞地方再犯防止推進計画に関する他都道府県の状況</w:t>
      </w:r>
    </w:p>
    <w:p w:rsidR="000C72F6" w:rsidRPr="00DF2364" w:rsidRDefault="000812C1" w:rsidP="000C72F6">
      <w:pPr>
        <w:ind w:firstLineChars="400" w:firstLine="840"/>
        <w:rPr>
          <w:rFonts w:asciiTheme="minorEastAsia" w:hAnsiTheme="minorEastAsia"/>
          <w:szCs w:val="21"/>
        </w:rPr>
      </w:pPr>
      <w:r w:rsidRPr="00DF2364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9C233" wp14:editId="673BF72A">
                <wp:simplePos x="0" y="0"/>
                <wp:positionH relativeFrom="column">
                  <wp:posOffset>584835</wp:posOffset>
                </wp:positionH>
                <wp:positionV relativeFrom="paragraph">
                  <wp:posOffset>222250</wp:posOffset>
                </wp:positionV>
                <wp:extent cx="5495925" cy="5524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52450"/>
                        </a:xfrm>
                        <a:prstGeom prst="bracketPair">
                          <a:avLst>
                            <a:gd name="adj" fmla="val 1021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730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6.05pt;margin-top:17.5pt;width:432.7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" adj="2207" strokecolor="black [3213]" strokeweight=".5pt">
                <v:stroke joinstyle="miter"/>
              </v:shape>
            </w:pict>
          </mc:Fallback>
        </mc:AlternateContent>
      </w:r>
      <w:r w:rsidR="000C72F6" w:rsidRPr="00DF2364">
        <w:rPr>
          <w:rFonts w:asciiTheme="minorEastAsia" w:hAnsiTheme="minorEastAsia" w:hint="eastAsia"/>
          <w:szCs w:val="21"/>
        </w:rPr>
        <w:t>平成31年４月末時点で15府県が策定済み</w:t>
      </w:r>
    </w:p>
    <w:p w:rsidR="000C72F6" w:rsidRPr="00DF2364" w:rsidRDefault="000C72F6" w:rsidP="000812C1">
      <w:pPr>
        <w:spacing w:line="300" w:lineRule="exact"/>
        <w:ind w:leftChars="501" w:left="1052"/>
        <w:rPr>
          <w:rFonts w:asciiTheme="minorEastAsia" w:hAnsiTheme="minorEastAsia"/>
          <w:szCs w:val="21"/>
        </w:rPr>
      </w:pPr>
      <w:r w:rsidRPr="00DF2364">
        <w:rPr>
          <w:rFonts w:asciiTheme="minorEastAsia" w:hAnsiTheme="minorEastAsia" w:hint="eastAsia"/>
          <w:szCs w:val="21"/>
        </w:rPr>
        <w:t>群馬県、神奈川県、福井県、岐阜県、滋賀県、京都府（※）、兵庫県（※）、鳥取県、岡山県、山口県、高知県、福岡県、佐賀県、大分県、鹿児島県</w:t>
      </w:r>
    </w:p>
    <w:p w:rsidR="000C72F6" w:rsidRPr="00DF2364" w:rsidRDefault="000C72F6" w:rsidP="000812C1">
      <w:pPr>
        <w:spacing w:line="300" w:lineRule="exact"/>
        <w:ind w:leftChars="501" w:left="1052"/>
        <w:rPr>
          <w:rFonts w:asciiTheme="minorEastAsia" w:hAnsiTheme="minorEastAsia"/>
          <w:szCs w:val="21"/>
        </w:rPr>
      </w:pPr>
      <w:r w:rsidRPr="00DF2364">
        <w:rPr>
          <w:rFonts w:asciiTheme="minorEastAsia" w:hAnsiTheme="minorEastAsia" w:hint="eastAsia"/>
          <w:szCs w:val="21"/>
        </w:rPr>
        <w:t>（※）京都府、兵庫県は他計画と一体的に策定</w:t>
      </w:r>
    </w:p>
    <w:p w:rsidR="000C72F6" w:rsidRPr="00397438" w:rsidRDefault="000C72F6" w:rsidP="00DF2364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0C72F6" w:rsidRPr="002E44B6" w:rsidRDefault="000C72F6" w:rsidP="000C72F6">
      <w:pPr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2770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計画の</w:t>
      </w:r>
      <w:r w:rsidRPr="0092770C">
        <w:rPr>
          <w:rFonts w:asciiTheme="majorEastAsia" w:eastAsiaTheme="majorEastAsia" w:hAnsiTheme="majorEastAsia" w:hint="eastAsia"/>
          <w:sz w:val="24"/>
          <w:szCs w:val="24"/>
        </w:rPr>
        <w:t>検討</w:t>
      </w:r>
      <w:r>
        <w:rPr>
          <w:rFonts w:asciiTheme="majorEastAsia" w:eastAsiaTheme="majorEastAsia" w:hAnsiTheme="majorEastAsia" w:hint="eastAsia"/>
          <w:sz w:val="24"/>
          <w:szCs w:val="24"/>
        </w:rPr>
        <w:t>体制</w:t>
      </w:r>
      <w:r w:rsidRPr="002E44B6">
        <w:rPr>
          <w:rFonts w:asciiTheme="majorEastAsia" w:eastAsiaTheme="majorEastAsia" w:hAnsiTheme="majorEastAsia" w:hint="eastAsia"/>
          <w:sz w:val="22"/>
          <w:szCs w:val="24"/>
        </w:rPr>
        <w:t>（スケジュールは</w:t>
      </w:r>
      <w:bookmarkStart w:id="0" w:name="_GoBack"/>
      <w:r w:rsidR="002C1E3D" w:rsidRPr="002C1E3D">
        <w:rPr>
          <w:rFonts w:asciiTheme="majorEastAsia" w:eastAsiaTheme="majorEastAsia" w:hAnsiTheme="majorEastAsia" w:hint="eastAsia"/>
          <w:sz w:val="22"/>
          <w:szCs w:val="24"/>
          <w:bdr w:val="single" w:sz="4" w:space="0" w:color="auto"/>
        </w:rPr>
        <w:t>資料５</w:t>
      </w:r>
      <w:bookmarkEnd w:id="0"/>
      <w:r w:rsidRPr="002E44B6">
        <w:rPr>
          <w:rFonts w:asciiTheme="majorEastAsia" w:eastAsiaTheme="majorEastAsia" w:hAnsiTheme="majorEastAsia" w:hint="eastAsia"/>
          <w:sz w:val="22"/>
          <w:szCs w:val="24"/>
        </w:rPr>
        <w:t>のとおり）</w:t>
      </w:r>
    </w:p>
    <w:p w:rsidR="000C72F6" w:rsidRPr="00AD4ADB" w:rsidRDefault="000C72F6" w:rsidP="000C72F6">
      <w:pPr>
        <w:ind w:leftChars="100" w:left="210"/>
        <w:rPr>
          <w:rFonts w:asciiTheme="minorEastAsia" w:hAnsiTheme="minorEastAsia"/>
          <w:sz w:val="24"/>
          <w:szCs w:val="24"/>
        </w:rPr>
      </w:pPr>
      <w:r w:rsidRPr="00AD4ADB">
        <w:rPr>
          <w:rFonts w:asciiTheme="minorEastAsia" w:hAnsiTheme="minorEastAsia" w:hint="eastAsia"/>
          <w:sz w:val="24"/>
          <w:szCs w:val="24"/>
        </w:rPr>
        <w:t>・富山県再犯防止推進計画検討委員会の開催（３回）</w:t>
      </w:r>
    </w:p>
    <w:p w:rsidR="000C72F6" w:rsidRDefault="000C72F6" w:rsidP="000C72F6">
      <w:pPr>
        <w:ind w:leftChars="100" w:left="210"/>
        <w:rPr>
          <w:rFonts w:asciiTheme="minorEastAsia" w:hAnsiTheme="minorEastAsia"/>
          <w:sz w:val="24"/>
          <w:szCs w:val="24"/>
        </w:rPr>
      </w:pPr>
      <w:r w:rsidRPr="00AD4ADB">
        <w:rPr>
          <w:rFonts w:asciiTheme="minorEastAsia" w:hAnsiTheme="minorEastAsia" w:hint="eastAsia"/>
          <w:sz w:val="24"/>
          <w:szCs w:val="24"/>
        </w:rPr>
        <w:t>・パブリックコメントの実施（１２月～</w:t>
      </w:r>
      <w:r w:rsidR="000F15E6">
        <w:rPr>
          <w:rFonts w:asciiTheme="minorEastAsia" w:hAnsiTheme="minorEastAsia" w:hint="eastAsia"/>
          <w:sz w:val="24"/>
          <w:szCs w:val="24"/>
        </w:rPr>
        <w:t>令和２年</w:t>
      </w:r>
      <w:r w:rsidRPr="00AD4ADB">
        <w:rPr>
          <w:rFonts w:asciiTheme="minorEastAsia" w:hAnsiTheme="minorEastAsia" w:hint="eastAsia"/>
          <w:sz w:val="24"/>
          <w:szCs w:val="24"/>
        </w:rPr>
        <w:t>１月頃）</w:t>
      </w:r>
    </w:p>
    <w:p w:rsidR="000F15E6" w:rsidRPr="00AD4ADB" w:rsidRDefault="000F15E6" w:rsidP="000C72F6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・計画の策定・公表（令和２年３月）</w:t>
      </w:r>
    </w:p>
    <w:sectPr w:rsidR="000F15E6" w:rsidRPr="00AD4ADB" w:rsidSect="00074F57">
      <w:pgSz w:w="11906" w:h="16838"/>
      <w:pgMar w:top="1134" w:right="1134" w:bottom="567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39" w:rsidRDefault="00D23939" w:rsidP="00D23939">
      <w:r>
        <w:separator/>
      </w:r>
    </w:p>
  </w:endnote>
  <w:endnote w:type="continuationSeparator" w:id="0">
    <w:p w:rsidR="00D23939" w:rsidRDefault="00D23939" w:rsidP="00D2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39" w:rsidRDefault="00D23939" w:rsidP="00D23939">
      <w:r>
        <w:separator/>
      </w:r>
    </w:p>
  </w:footnote>
  <w:footnote w:type="continuationSeparator" w:id="0">
    <w:p w:rsidR="00D23939" w:rsidRDefault="00D23939" w:rsidP="00D23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7FC3"/>
    <w:multiLevelType w:val="hybridMultilevel"/>
    <w:tmpl w:val="84A41650"/>
    <w:lvl w:ilvl="0" w:tplc="CB46FB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81570"/>
    <w:multiLevelType w:val="hybridMultilevel"/>
    <w:tmpl w:val="CEE23FA8"/>
    <w:lvl w:ilvl="0" w:tplc="A0660F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A73F0"/>
    <w:multiLevelType w:val="hybridMultilevel"/>
    <w:tmpl w:val="EF0C5DC4"/>
    <w:lvl w:ilvl="0" w:tplc="1DC44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6047B7"/>
    <w:multiLevelType w:val="hybridMultilevel"/>
    <w:tmpl w:val="C0D2DF76"/>
    <w:lvl w:ilvl="0" w:tplc="1E8EB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D76646"/>
    <w:multiLevelType w:val="hybridMultilevel"/>
    <w:tmpl w:val="D7D6D1A4"/>
    <w:lvl w:ilvl="0" w:tplc="31F4C8FE">
      <w:start w:val="1"/>
      <w:numFmt w:val="decimalEnclosedCircle"/>
      <w:lvlText w:val="%1"/>
      <w:lvlJc w:val="left"/>
      <w:pPr>
        <w:ind w:left="219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5" w15:restartNumberingAfterBreak="0">
    <w:nsid w:val="67EB61F5"/>
    <w:multiLevelType w:val="hybridMultilevel"/>
    <w:tmpl w:val="05DC49A2"/>
    <w:lvl w:ilvl="0" w:tplc="286AE7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977AE8"/>
    <w:multiLevelType w:val="hybridMultilevel"/>
    <w:tmpl w:val="EB3AD042"/>
    <w:lvl w:ilvl="0" w:tplc="962492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B"/>
    <w:rsid w:val="000102D0"/>
    <w:rsid w:val="0003449C"/>
    <w:rsid w:val="000658D8"/>
    <w:rsid w:val="00074F57"/>
    <w:rsid w:val="000812C1"/>
    <w:rsid w:val="000B5C64"/>
    <w:rsid w:val="000C72F6"/>
    <w:rsid w:val="000F15E6"/>
    <w:rsid w:val="0011251F"/>
    <w:rsid w:val="0015125D"/>
    <w:rsid w:val="001815A2"/>
    <w:rsid w:val="001864C8"/>
    <w:rsid w:val="001B538D"/>
    <w:rsid w:val="001D160B"/>
    <w:rsid w:val="001E0698"/>
    <w:rsid w:val="001E4F83"/>
    <w:rsid w:val="001F6310"/>
    <w:rsid w:val="002077EC"/>
    <w:rsid w:val="00236D9A"/>
    <w:rsid w:val="00243066"/>
    <w:rsid w:val="00253AC5"/>
    <w:rsid w:val="00253D7B"/>
    <w:rsid w:val="00277547"/>
    <w:rsid w:val="00292622"/>
    <w:rsid w:val="002C1E3D"/>
    <w:rsid w:val="002D095B"/>
    <w:rsid w:val="002E2AFB"/>
    <w:rsid w:val="002E44B6"/>
    <w:rsid w:val="00397438"/>
    <w:rsid w:val="004262D9"/>
    <w:rsid w:val="004A3547"/>
    <w:rsid w:val="004A6C46"/>
    <w:rsid w:val="004E3351"/>
    <w:rsid w:val="004F0F04"/>
    <w:rsid w:val="00505FBF"/>
    <w:rsid w:val="00541517"/>
    <w:rsid w:val="00546458"/>
    <w:rsid w:val="0055044C"/>
    <w:rsid w:val="00555F77"/>
    <w:rsid w:val="005562FE"/>
    <w:rsid w:val="005A5FBE"/>
    <w:rsid w:val="005D16FA"/>
    <w:rsid w:val="005E7450"/>
    <w:rsid w:val="00604C79"/>
    <w:rsid w:val="0061452E"/>
    <w:rsid w:val="00631F37"/>
    <w:rsid w:val="00665690"/>
    <w:rsid w:val="00677ED7"/>
    <w:rsid w:val="00681FAE"/>
    <w:rsid w:val="006F44E7"/>
    <w:rsid w:val="006F71B3"/>
    <w:rsid w:val="00721B4D"/>
    <w:rsid w:val="00737271"/>
    <w:rsid w:val="00743303"/>
    <w:rsid w:val="00773931"/>
    <w:rsid w:val="0078259E"/>
    <w:rsid w:val="007D2735"/>
    <w:rsid w:val="007F3572"/>
    <w:rsid w:val="00804C0F"/>
    <w:rsid w:val="00810A83"/>
    <w:rsid w:val="00845BDE"/>
    <w:rsid w:val="0084726E"/>
    <w:rsid w:val="00885BAB"/>
    <w:rsid w:val="008C14EE"/>
    <w:rsid w:val="008D2DB0"/>
    <w:rsid w:val="008E2B03"/>
    <w:rsid w:val="0092214D"/>
    <w:rsid w:val="00926C5E"/>
    <w:rsid w:val="0092770C"/>
    <w:rsid w:val="00936FCC"/>
    <w:rsid w:val="00951A2E"/>
    <w:rsid w:val="00984620"/>
    <w:rsid w:val="00992B1A"/>
    <w:rsid w:val="009C56DB"/>
    <w:rsid w:val="00A05A73"/>
    <w:rsid w:val="00A10153"/>
    <w:rsid w:val="00A37D51"/>
    <w:rsid w:val="00A56B14"/>
    <w:rsid w:val="00A85C5E"/>
    <w:rsid w:val="00A92D5A"/>
    <w:rsid w:val="00A97D5E"/>
    <w:rsid w:val="00AA6E23"/>
    <w:rsid w:val="00AB4AFF"/>
    <w:rsid w:val="00AC7B7F"/>
    <w:rsid w:val="00AD4ADB"/>
    <w:rsid w:val="00B015F2"/>
    <w:rsid w:val="00B42436"/>
    <w:rsid w:val="00B61C10"/>
    <w:rsid w:val="00B65ED2"/>
    <w:rsid w:val="00B73792"/>
    <w:rsid w:val="00BD0E06"/>
    <w:rsid w:val="00C067B8"/>
    <w:rsid w:val="00C2519C"/>
    <w:rsid w:val="00CA4EA4"/>
    <w:rsid w:val="00CB296B"/>
    <w:rsid w:val="00CD1C93"/>
    <w:rsid w:val="00D211AA"/>
    <w:rsid w:val="00D23939"/>
    <w:rsid w:val="00D42857"/>
    <w:rsid w:val="00D5743B"/>
    <w:rsid w:val="00D77AD4"/>
    <w:rsid w:val="00DA7D37"/>
    <w:rsid w:val="00DF2364"/>
    <w:rsid w:val="00E0446D"/>
    <w:rsid w:val="00E24D2F"/>
    <w:rsid w:val="00E27C72"/>
    <w:rsid w:val="00E46A3D"/>
    <w:rsid w:val="00E47857"/>
    <w:rsid w:val="00E551FE"/>
    <w:rsid w:val="00E552F8"/>
    <w:rsid w:val="00E64122"/>
    <w:rsid w:val="00E815C2"/>
    <w:rsid w:val="00E8599A"/>
    <w:rsid w:val="00ED04FF"/>
    <w:rsid w:val="00EE65AD"/>
    <w:rsid w:val="00EF1C67"/>
    <w:rsid w:val="00F020E1"/>
    <w:rsid w:val="00F23D99"/>
    <w:rsid w:val="00F31281"/>
    <w:rsid w:val="00F3648D"/>
    <w:rsid w:val="00F571B4"/>
    <w:rsid w:val="00FB0BA9"/>
    <w:rsid w:val="00FD0F05"/>
    <w:rsid w:val="00FD505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DD1F6-DC23-419F-893D-08025697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939"/>
  </w:style>
  <w:style w:type="paragraph" w:styleId="a5">
    <w:name w:val="footer"/>
    <w:basedOn w:val="a"/>
    <w:link w:val="a6"/>
    <w:uiPriority w:val="99"/>
    <w:unhideWhenUsed/>
    <w:rsid w:val="00D23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939"/>
  </w:style>
  <w:style w:type="paragraph" w:styleId="a7">
    <w:name w:val="List Paragraph"/>
    <w:basedOn w:val="a"/>
    <w:uiPriority w:val="34"/>
    <w:qFormat/>
    <w:rsid w:val="0077393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1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51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C5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4394-F0CE-4A33-84F9-D3E370A9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垣地　綾</dc:creator>
  <cp:keywords/>
  <dc:description/>
  <cp:lastModifiedBy>垣地　綾</cp:lastModifiedBy>
  <cp:revision>50</cp:revision>
  <cp:lastPrinted>2019-07-23T04:08:00Z</cp:lastPrinted>
  <dcterms:created xsi:type="dcterms:W3CDTF">2019-05-07T05:19:00Z</dcterms:created>
  <dcterms:modified xsi:type="dcterms:W3CDTF">2019-07-23T10:00:00Z</dcterms:modified>
</cp:coreProperties>
</file>