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6A" w:rsidRPr="00F53A55" w:rsidRDefault="00691B6A" w:rsidP="00C41BFD">
      <w:pPr>
        <w:spacing w:afterLines="50" w:after="173" w:line="400" w:lineRule="exact"/>
        <w:jc w:val="center"/>
        <w:rPr>
          <w:rFonts w:ascii="ＭＳ 明朝" w:hAnsi="ＭＳ 明朝"/>
          <w:b/>
          <w:color w:val="000000" w:themeColor="text1"/>
          <w:sz w:val="28"/>
          <w:szCs w:val="28"/>
        </w:rPr>
      </w:pPr>
      <w:r w:rsidRPr="00F53A55">
        <w:rPr>
          <w:rFonts w:ascii="ＭＳ 明朝" w:hAnsi="ＭＳ 明朝" w:hint="eastAsia"/>
          <w:b/>
          <w:color w:val="000000" w:themeColor="text1"/>
          <w:sz w:val="28"/>
          <w:szCs w:val="28"/>
        </w:rPr>
        <w:t>Ｈ</w:t>
      </w:r>
      <w:r w:rsidR="00980574" w:rsidRPr="00F53A55">
        <w:rPr>
          <w:rFonts w:ascii="ＭＳ 明朝" w:hAnsi="ＭＳ 明朝" w:hint="eastAsia"/>
          <w:b/>
          <w:color w:val="000000" w:themeColor="text1"/>
          <w:sz w:val="28"/>
          <w:szCs w:val="28"/>
        </w:rPr>
        <w:t>30</w:t>
      </w:r>
      <w:r w:rsidRPr="00F53A55">
        <w:rPr>
          <w:rFonts w:ascii="ＭＳ 明朝" w:hAnsi="ＭＳ 明朝" w:hint="eastAsia"/>
          <w:b/>
          <w:color w:val="000000" w:themeColor="text1"/>
          <w:sz w:val="28"/>
          <w:szCs w:val="28"/>
        </w:rPr>
        <w:t>試験研究</w:t>
      </w:r>
      <w:r w:rsidR="00134A23" w:rsidRPr="00F53A55">
        <w:rPr>
          <w:rFonts w:ascii="ＭＳ 明朝" w:hAnsi="ＭＳ 明朝" w:hint="eastAsia"/>
          <w:b/>
          <w:color w:val="000000" w:themeColor="text1"/>
          <w:sz w:val="28"/>
          <w:szCs w:val="28"/>
        </w:rPr>
        <w:t>課題</w:t>
      </w:r>
      <w:r w:rsidRPr="00F53A55">
        <w:rPr>
          <w:rFonts w:ascii="ＭＳ 明朝" w:hAnsi="ＭＳ 明朝" w:hint="eastAsia"/>
          <w:b/>
          <w:color w:val="000000" w:themeColor="text1"/>
          <w:sz w:val="28"/>
          <w:szCs w:val="28"/>
        </w:rPr>
        <w:t>評価一覧</w:t>
      </w:r>
      <w:r w:rsidR="00134A23" w:rsidRPr="00F53A55">
        <w:rPr>
          <w:rFonts w:ascii="ＭＳ 明朝" w:hAnsi="ＭＳ 明朝" w:hint="eastAsia"/>
          <w:b/>
          <w:color w:val="000000" w:themeColor="text1"/>
          <w:sz w:val="28"/>
          <w:szCs w:val="28"/>
        </w:rPr>
        <w:t>（概要）</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34"/>
        <w:gridCol w:w="2268"/>
        <w:gridCol w:w="624"/>
        <w:gridCol w:w="624"/>
        <w:gridCol w:w="624"/>
        <w:gridCol w:w="4932"/>
      </w:tblGrid>
      <w:tr w:rsidR="00340200" w:rsidRPr="00F53A55" w:rsidTr="00D62E45">
        <w:trPr>
          <w:trHeight w:val="698"/>
        </w:trPr>
        <w:tc>
          <w:tcPr>
            <w:tcW w:w="642" w:type="dxa"/>
            <w:tcBorders>
              <w:top w:val="single" w:sz="12" w:space="0" w:color="auto"/>
              <w:left w:val="single" w:sz="12" w:space="0" w:color="auto"/>
              <w:bottom w:val="single" w:sz="12" w:space="0" w:color="auto"/>
            </w:tcBorders>
            <w:vAlign w:val="center"/>
          </w:tcPr>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tc>
        <w:tc>
          <w:tcPr>
            <w:tcW w:w="634" w:type="dxa"/>
            <w:tcBorders>
              <w:top w:val="single" w:sz="12" w:space="0" w:color="auto"/>
              <w:bottom w:val="single" w:sz="12" w:space="0" w:color="auto"/>
            </w:tcBorders>
            <w:vAlign w:val="center"/>
          </w:tcPr>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区分</w:t>
            </w:r>
          </w:p>
        </w:tc>
        <w:tc>
          <w:tcPr>
            <w:tcW w:w="2268" w:type="dxa"/>
            <w:tcBorders>
              <w:top w:val="single" w:sz="12" w:space="0" w:color="auto"/>
              <w:bottom w:val="single" w:sz="12" w:space="0" w:color="auto"/>
            </w:tcBorders>
            <w:vAlign w:val="center"/>
          </w:tcPr>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試験研究課題名</w:t>
            </w:r>
          </w:p>
        </w:tc>
        <w:tc>
          <w:tcPr>
            <w:tcW w:w="624" w:type="dxa"/>
            <w:tcBorders>
              <w:top w:val="single" w:sz="12" w:space="0" w:color="auto"/>
              <w:bottom w:val="single" w:sz="12" w:space="0" w:color="auto"/>
            </w:tcBorders>
            <w:vAlign w:val="center"/>
          </w:tcPr>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部会</w:t>
            </w:r>
          </w:p>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Borders>
              <w:top w:val="single" w:sz="12" w:space="0" w:color="auto"/>
              <w:bottom w:val="single" w:sz="12" w:space="0" w:color="auto"/>
            </w:tcBorders>
            <w:vAlign w:val="center"/>
          </w:tcPr>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外部</w:t>
            </w:r>
          </w:p>
          <w:p w:rsidR="00340200" w:rsidRPr="00F53A55" w:rsidRDefault="00340200" w:rsidP="00D62E45">
            <w:pPr>
              <w:spacing w:line="260" w:lineRule="exact"/>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評価</w:t>
            </w:r>
          </w:p>
        </w:tc>
        <w:tc>
          <w:tcPr>
            <w:tcW w:w="624" w:type="dxa"/>
            <w:tcBorders>
              <w:top w:val="single" w:sz="12" w:space="0" w:color="auto"/>
              <w:bottom w:val="single" w:sz="12" w:space="0" w:color="auto"/>
            </w:tcBorders>
            <w:vAlign w:val="center"/>
          </w:tcPr>
          <w:p w:rsidR="00340200" w:rsidRPr="00F53A55" w:rsidRDefault="00340200" w:rsidP="00D62E45">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試験</w:t>
            </w:r>
          </w:p>
          <w:p w:rsidR="00340200" w:rsidRPr="00F53A55" w:rsidRDefault="00340200" w:rsidP="00D62E45">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期間</w:t>
            </w:r>
          </w:p>
        </w:tc>
        <w:tc>
          <w:tcPr>
            <w:tcW w:w="4932" w:type="dxa"/>
            <w:tcBorders>
              <w:top w:val="single" w:sz="12" w:space="0" w:color="auto"/>
              <w:bottom w:val="single" w:sz="12" w:space="0" w:color="auto"/>
              <w:right w:val="single" w:sz="12" w:space="0" w:color="auto"/>
            </w:tcBorders>
            <w:vAlign w:val="center"/>
          </w:tcPr>
          <w:p w:rsidR="00340200" w:rsidRPr="00F53A55" w:rsidRDefault="00340200" w:rsidP="00D62E45">
            <w:pPr>
              <w:spacing w:line="260" w:lineRule="exact"/>
              <w:ind w:leftChars="-55" w:left="-106" w:rightChars="-55" w:right="-106"/>
              <w:jc w:val="center"/>
              <w:rPr>
                <w:rFonts w:ascii="ＭＳ Ｐ明朝" w:eastAsia="ＭＳ Ｐ明朝" w:hAnsi="ＭＳ Ｐ明朝"/>
                <w:color w:val="000000" w:themeColor="text1"/>
                <w:sz w:val="20"/>
                <w:szCs w:val="20"/>
              </w:rPr>
            </w:pPr>
            <w:r w:rsidRPr="00F53A55">
              <w:rPr>
                <w:rFonts w:ascii="ＭＳ Ｐ明朝" w:eastAsia="ＭＳ Ｐ明朝" w:hAnsi="ＭＳ Ｐ明朝" w:hint="eastAsia"/>
                <w:color w:val="000000" w:themeColor="text1"/>
                <w:sz w:val="20"/>
                <w:szCs w:val="20"/>
              </w:rPr>
              <w:t>対応方向</w:t>
            </w:r>
          </w:p>
        </w:tc>
      </w:tr>
      <w:tr w:rsidR="00340200" w:rsidRPr="00F53A55" w:rsidTr="00D62E45">
        <w:trPr>
          <w:trHeight w:val="1072"/>
        </w:trPr>
        <w:tc>
          <w:tcPr>
            <w:tcW w:w="642" w:type="dxa"/>
            <w:vMerge w:val="restart"/>
            <w:tcBorders>
              <w:top w:val="single" w:sz="12" w:space="0" w:color="auto"/>
              <w:left w:val="single" w:sz="12" w:space="0" w:color="auto"/>
            </w:tcBorders>
            <w:vAlign w:val="center"/>
          </w:tcPr>
          <w:p w:rsidR="00340200" w:rsidRPr="00F53A55"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農産部会</w:t>
            </w:r>
          </w:p>
        </w:tc>
        <w:tc>
          <w:tcPr>
            <w:tcW w:w="634" w:type="dxa"/>
            <w:tcBorders>
              <w:top w:val="single" w:sz="12" w:space="0" w:color="auto"/>
            </w:tcBorders>
            <w:vAlign w:val="center"/>
          </w:tcPr>
          <w:p w:rsidR="00340200" w:rsidRPr="00F53A55"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Borders>
              <w:top w:val="single" w:sz="12" w:space="0" w:color="auto"/>
            </w:tcBorders>
            <w:vAlign w:val="center"/>
          </w:tcPr>
          <w:p w:rsidR="00340200" w:rsidRPr="00F53A55" w:rsidRDefault="00340200" w:rsidP="00D62E45">
            <w:pP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斑点米カメムシ抵抗性早生品種の開発</w:t>
            </w:r>
          </w:p>
        </w:tc>
        <w:tc>
          <w:tcPr>
            <w:tcW w:w="624" w:type="dxa"/>
            <w:tcBorders>
              <w:top w:val="single" w:sz="12" w:space="0" w:color="auto"/>
            </w:tcBorders>
            <w:vAlign w:val="center"/>
          </w:tcPr>
          <w:p w:rsidR="00340200" w:rsidRPr="00F53A55"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tcBorders>
            <w:vAlign w:val="center"/>
          </w:tcPr>
          <w:p w:rsidR="00340200" w:rsidRPr="00F53A55"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tcBorders>
            <w:shd w:val="clear" w:color="auto" w:fill="auto"/>
            <w:vAlign w:val="center"/>
          </w:tcPr>
          <w:p w:rsidR="00340200" w:rsidRPr="00F53A55" w:rsidRDefault="00340200" w:rsidP="00D62E45">
            <w:pP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H31～35</w:t>
            </w:r>
          </w:p>
        </w:tc>
        <w:tc>
          <w:tcPr>
            <w:tcW w:w="4932" w:type="dxa"/>
            <w:tcBorders>
              <w:top w:val="single" w:sz="12" w:space="0" w:color="auto"/>
              <w:right w:val="single" w:sz="12" w:space="0" w:color="auto"/>
            </w:tcBorders>
            <w:vAlign w:val="center"/>
          </w:tcPr>
          <w:p w:rsidR="00340200" w:rsidRPr="00F53A55" w:rsidRDefault="00340200" w:rsidP="00D62E45">
            <w:pPr>
              <w:spacing w:line="240" w:lineRule="exact"/>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・戻し交配の回数の少ない試作系統から、順次、生産力検定等を実施することにより「てんたかく」との農業形質の相違を早期に把握し、完成度の高い品種となるよう努めてまいりたい。</w:t>
            </w:r>
          </w:p>
          <w:p w:rsidR="00340200" w:rsidRPr="00F53A55" w:rsidRDefault="00340200" w:rsidP="00D62E45">
            <w:pPr>
              <w:spacing w:line="240" w:lineRule="exact"/>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・割れ籾が少ない特性を発揮させる遺伝領域が特定されれば、他の品種にもその遺伝領域を導入することが可能であり、将来的に本研究での成果を活かしてまいりたい。</w:t>
            </w:r>
          </w:p>
        </w:tc>
      </w:tr>
      <w:tr w:rsidR="00340200" w:rsidRPr="00980574" w:rsidTr="00D62E45">
        <w:trPr>
          <w:trHeight w:val="900"/>
        </w:trPr>
        <w:tc>
          <w:tcPr>
            <w:tcW w:w="642" w:type="dxa"/>
            <w:vMerge/>
            <w:tcBorders>
              <w:left w:val="single" w:sz="12" w:space="0" w:color="auto"/>
            </w:tcBorders>
            <w:vAlign w:val="center"/>
          </w:tcPr>
          <w:p w:rsidR="00340200" w:rsidRPr="00B4084F" w:rsidRDefault="00340200" w:rsidP="00D62E45">
            <w:pPr>
              <w:jc w:val="center"/>
              <w:rPr>
                <w:rFonts w:ascii="ＭＳ Ｐ明朝" w:eastAsia="ＭＳ Ｐ明朝" w:hAnsi="ＭＳ Ｐ明朝"/>
                <w:color w:val="000000" w:themeColor="text1"/>
                <w:szCs w:val="21"/>
              </w:rPr>
            </w:pPr>
          </w:p>
        </w:tc>
        <w:tc>
          <w:tcPr>
            <w:tcW w:w="634" w:type="dxa"/>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事前</w:t>
            </w:r>
          </w:p>
        </w:tc>
        <w:tc>
          <w:tcPr>
            <w:tcW w:w="2268" w:type="dxa"/>
            <w:vAlign w:val="center"/>
          </w:tcPr>
          <w:p w:rsidR="00340200" w:rsidRPr="00B4084F" w:rsidRDefault="00340200" w:rsidP="00D62E45">
            <w:pP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新規被覆肥料を用いた全量基肥肥料の開発</w:t>
            </w:r>
          </w:p>
        </w:tc>
        <w:tc>
          <w:tcPr>
            <w:tcW w:w="624" w:type="dxa"/>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A</w:t>
            </w:r>
          </w:p>
        </w:tc>
        <w:tc>
          <w:tcPr>
            <w:tcW w:w="624" w:type="dxa"/>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A</w:t>
            </w:r>
          </w:p>
        </w:tc>
        <w:tc>
          <w:tcPr>
            <w:tcW w:w="624" w:type="dxa"/>
            <w:shd w:val="clear" w:color="auto" w:fill="auto"/>
            <w:vAlign w:val="center"/>
          </w:tcPr>
          <w:p w:rsidR="00340200" w:rsidRPr="00B4084F" w:rsidRDefault="00340200" w:rsidP="00D62E45">
            <w:pP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H31～32</w:t>
            </w:r>
          </w:p>
        </w:tc>
        <w:tc>
          <w:tcPr>
            <w:tcW w:w="4932" w:type="dxa"/>
            <w:tcBorders>
              <w:right w:val="single" w:sz="12" w:space="0" w:color="auto"/>
            </w:tcBorders>
            <w:vAlign w:val="center"/>
          </w:tcPr>
          <w:p w:rsidR="00340200" w:rsidRPr="00B4084F" w:rsidRDefault="00340200" w:rsidP="00D62E45">
            <w:pPr>
              <w:spacing w:line="240" w:lineRule="exact"/>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・関係機関と連携し、現地実証を行い早期の普及を目指す。</w:t>
            </w:r>
          </w:p>
          <w:p w:rsidR="00340200" w:rsidRPr="00B4084F" w:rsidRDefault="00340200" w:rsidP="00D62E45">
            <w:pPr>
              <w:spacing w:line="240" w:lineRule="exact"/>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・環境影響評価について、肥料生産メーカー等とも協力しながら、情報の収集に努めたい。</w:t>
            </w:r>
          </w:p>
          <w:p w:rsidR="00340200" w:rsidRPr="00B4084F" w:rsidRDefault="00340200" w:rsidP="00D62E45">
            <w:pPr>
              <w:spacing w:line="240" w:lineRule="exact"/>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・崩壊性が高い被覆肥料のラインナップの充実をメーカーに求めるとともに、品種、作物に応じた施肥技術の確立を目指したい。</w:t>
            </w:r>
          </w:p>
        </w:tc>
      </w:tr>
      <w:tr w:rsidR="00340200" w:rsidRPr="00980574" w:rsidTr="00D62E45">
        <w:trPr>
          <w:trHeight w:val="673"/>
        </w:trPr>
        <w:tc>
          <w:tcPr>
            <w:tcW w:w="642" w:type="dxa"/>
            <w:vMerge/>
            <w:tcBorders>
              <w:left w:val="single" w:sz="12" w:space="0" w:color="auto"/>
              <w:bottom w:val="single" w:sz="12" w:space="0" w:color="auto"/>
            </w:tcBorders>
            <w:vAlign w:val="center"/>
          </w:tcPr>
          <w:p w:rsidR="00340200" w:rsidRPr="00B4084F" w:rsidRDefault="00340200" w:rsidP="00D62E45">
            <w:pPr>
              <w:jc w:val="center"/>
              <w:rPr>
                <w:rFonts w:ascii="ＭＳ Ｐ明朝" w:eastAsia="ＭＳ Ｐ明朝" w:hAnsi="ＭＳ Ｐ明朝"/>
                <w:color w:val="000000" w:themeColor="text1"/>
                <w:szCs w:val="21"/>
              </w:rPr>
            </w:pPr>
          </w:p>
        </w:tc>
        <w:tc>
          <w:tcPr>
            <w:tcW w:w="634" w:type="dxa"/>
            <w:tcBorders>
              <w:bottom w:val="single" w:sz="12" w:space="0" w:color="auto"/>
            </w:tcBorders>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事後</w:t>
            </w:r>
          </w:p>
        </w:tc>
        <w:tc>
          <w:tcPr>
            <w:tcW w:w="2268" w:type="dxa"/>
            <w:tcBorders>
              <w:bottom w:val="single" w:sz="12" w:space="0" w:color="auto"/>
            </w:tcBorders>
            <w:vAlign w:val="center"/>
          </w:tcPr>
          <w:p w:rsidR="00340200" w:rsidRPr="00B4084F" w:rsidRDefault="00340200" w:rsidP="00D62E45">
            <w:pP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 xml:space="preserve">新とやまブランド米開発加速化事業　</w:t>
            </w:r>
          </w:p>
        </w:tc>
        <w:tc>
          <w:tcPr>
            <w:tcW w:w="624" w:type="dxa"/>
            <w:tcBorders>
              <w:bottom w:val="single" w:sz="12" w:space="0" w:color="auto"/>
            </w:tcBorders>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 xml:space="preserve">A </w:t>
            </w:r>
          </w:p>
        </w:tc>
        <w:tc>
          <w:tcPr>
            <w:tcW w:w="624" w:type="dxa"/>
            <w:tcBorders>
              <w:bottom w:val="single" w:sz="12" w:space="0" w:color="auto"/>
            </w:tcBorders>
            <w:vAlign w:val="center"/>
          </w:tcPr>
          <w:p w:rsidR="00340200" w:rsidRPr="00B4084F" w:rsidRDefault="00340200" w:rsidP="00D62E45">
            <w:pPr>
              <w:jc w:val="cente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A</w:t>
            </w:r>
          </w:p>
        </w:tc>
        <w:tc>
          <w:tcPr>
            <w:tcW w:w="624" w:type="dxa"/>
            <w:tcBorders>
              <w:bottom w:val="single" w:sz="12" w:space="0" w:color="auto"/>
            </w:tcBorders>
            <w:shd w:val="clear" w:color="auto" w:fill="auto"/>
            <w:vAlign w:val="center"/>
          </w:tcPr>
          <w:p w:rsidR="00340200" w:rsidRPr="00B4084F" w:rsidRDefault="00340200" w:rsidP="00D62E45">
            <w:pPr>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H26～29</w:t>
            </w:r>
          </w:p>
        </w:tc>
        <w:tc>
          <w:tcPr>
            <w:tcW w:w="4932" w:type="dxa"/>
            <w:tcBorders>
              <w:bottom w:val="single" w:sz="12" w:space="0" w:color="auto"/>
              <w:right w:val="single" w:sz="12" w:space="0" w:color="auto"/>
            </w:tcBorders>
            <w:vAlign w:val="center"/>
          </w:tcPr>
          <w:p w:rsidR="00340200" w:rsidRPr="00B4084F" w:rsidRDefault="00340200" w:rsidP="00D62E45">
            <w:pPr>
              <w:spacing w:line="240" w:lineRule="exact"/>
              <w:rPr>
                <w:rFonts w:ascii="ＭＳ Ｐ明朝" w:eastAsia="ＭＳ Ｐ明朝" w:hAnsi="ＭＳ Ｐ明朝"/>
                <w:color w:val="000000" w:themeColor="text1"/>
                <w:szCs w:val="21"/>
              </w:rPr>
            </w:pPr>
            <w:r w:rsidRPr="00B4084F">
              <w:rPr>
                <w:rFonts w:ascii="ＭＳ Ｐ明朝" w:eastAsia="ＭＳ Ｐ明朝" w:hAnsi="ＭＳ Ｐ明朝" w:hint="eastAsia"/>
                <w:color w:val="000000" w:themeColor="text1"/>
                <w:szCs w:val="21"/>
              </w:rPr>
              <w:t>・青未熟粒の低減や田植時期の早期化など、引き続き、栽培技術による改善と対策を進める。</w:t>
            </w:r>
          </w:p>
        </w:tc>
      </w:tr>
      <w:tr w:rsidR="00340200" w:rsidRPr="00980574" w:rsidTr="00D62E45">
        <w:trPr>
          <w:trHeight w:val="877"/>
        </w:trPr>
        <w:tc>
          <w:tcPr>
            <w:tcW w:w="642" w:type="dxa"/>
            <w:vMerge w:val="restart"/>
            <w:tcBorders>
              <w:top w:val="single" w:sz="12" w:space="0" w:color="auto"/>
              <w:left w:val="single" w:sz="12" w:space="0" w:color="auto"/>
            </w:tcBorders>
            <w:vAlign w:val="center"/>
          </w:tcPr>
          <w:p w:rsidR="00340200" w:rsidRPr="00750AAE" w:rsidRDefault="00340200" w:rsidP="00D62E45">
            <w:pPr>
              <w:jc w:val="center"/>
              <w:rPr>
                <w:rFonts w:ascii="ＭＳ Ｐ明朝" w:eastAsia="ＭＳ Ｐ明朝" w:hAnsi="ＭＳ Ｐ明朝"/>
                <w:color w:val="000000" w:themeColor="text1"/>
                <w:szCs w:val="21"/>
              </w:rPr>
            </w:pPr>
            <w:r w:rsidRPr="00750AAE">
              <w:rPr>
                <w:rFonts w:ascii="ＭＳ Ｐ明朝" w:eastAsia="ＭＳ Ｐ明朝" w:hAnsi="ＭＳ Ｐ明朝" w:hint="eastAsia"/>
                <w:color w:val="000000" w:themeColor="text1"/>
                <w:szCs w:val="21"/>
              </w:rPr>
              <w:t>園芸部会</w:t>
            </w:r>
          </w:p>
        </w:tc>
        <w:tc>
          <w:tcPr>
            <w:tcW w:w="634" w:type="dxa"/>
            <w:tcBorders>
              <w:top w:val="single" w:sz="12" w:space="0" w:color="auto"/>
              <w:bottom w:val="single" w:sz="8" w:space="0" w:color="auto"/>
            </w:tcBorders>
            <w:vAlign w:val="center"/>
          </w:tcPr>
          <w:p w:rsidR="00340200" w:rsidRPr="00750AAE" w:rsidRDefault="00340200" w:rsidP="00D62E45">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事前</w:t>
            </w:r>
          </w:p>
        </w:tc>
        <w:tc>
          <w:tcPr>
            <w:tcW w:w="2268" w:type="dxa"/>
            <w:tcBorders>
              <w:top w:val="single" w:sz="12" w:space="0" w:color="auto"/>
              <w:bottom w:val="single" w:sz="8" w:space="0" w:color="auto"/>
            </w:tcBorders>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ニホンナシ黒星病における芽基部病斑の発生軽減対策</w:t>
            </w:r>
          </w:p>
        </w:tc>
        <w:tc>
          <w:tcPr>
            <w:tcW w:w="624" w:type="dxa"/>
            <w:tcBorders>
              <w:top w:val="single" w:sz="12" w:space="0" w:color="auto"/>
              <w:bottom w:val="single" w:sz="8"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top w:val="single" w:sz="12" w:space="0" w:color="auto"/>
              <w:bottom w:val="single" w:sz="8"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top w:val="single" w:sz="12" w:space="0" w:color="auto"/>
              <w:bottom w:val="single" w:sz="8" w:space="0" w:color="auto"/>
            </w:tcBorders>
            <w:shd w:val="clear" w:color="auto" w:fill="auto"/>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H31～32</w:t>
            </w:r>
          </w:p>
        </w:tc>
        <w:tc>
          <w:tcPr>
            <w:tcW w:w="4932" w:type="dxa"/>
            <w:tcBorders>
              <w:top w:val="single" w:sz="12" w:space="0" w:color="auto"/>
              <w:bottom w:val="single" w:sz="8" w:space="0" w:color="auto"/>
              <w:right w:val="single" w:sz="12" w:space="0" w:color="auto"/>
            </w:tcBorders>
            <w:vAlign w:val="center"/>
          </w:tcPr>
          <w:p w:rsidR="00340200" w:rsidRPr="00D60336" w:rsidRDefault="00340200" w:rsidP="00D62E45">
            <w:pPr>
              <w:spacing w:line="240" w:lineRule="exact"/>
              <w:jc w:val="left"/>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・成果の現場還元については、関係機関と協力して落葉処理（落葉上の子のう胞子による一次感染の防止対策）等と合わせた総合的なナシ黒星病発生軽減対策として発信していきたい。</w:t>
            </w:r>
          </w:p>
          <w:p w:rsidR="00340200" w:rsidRPr="00D60336" w:rsidRDefault="00340200" w:rsidP="00D62E45">
            <w:pPr>
              <w:spacing w:line="240" w:lineRule="exact"/>
              <w:jc w:val="left"/>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耐病性品種については、現在（国研）農研機構で育成された系統について本県での適応性を確認しているところである。また必要に応じ、食味良好で生産性の高い耐病性品種の育成について、（国研）農研機構には今後とも要望していく。</w:t>
            </w:r>
            <w:r w:rsidRPr="00D60336">
              <w:rPr>
                <w:rFonts w:ascii="ＭＳ Ｐ明朝" w:eastAsia="ＭＳ Ｐ明朝" w:hAnsi="ＭＳ Ｐ明朝"/>
                <w:color w:val="000000" w:themeColor="text1"/>
                <w:szCs w:val="21"/>
              </w:rPr>
              <w:t xml:space="preserve">          </w:t>
            </w:r>
          </w:p>
        </w:tc>
      </w:tr>
      <w:tr w:rsidR="00340200" w:rsidRPr="00980574" w:rsidTr="00D62E45">
        <w:trPr>
          <w:trHeight w:val="962"/>
        </w:trPr>
        <w:tc>
          <w:tcPr>
            <w:tcW w:w="642" w:type="dxa"/>
            <w:vMerge/>
            <w:tcBorders>
              <w:left w:val="single" w:sz="12" w:space="0" w:color="auto"/>
            </w:tcBorders>
            <w:vAlign w:val="center"/>
          </w:tcPr>
          <w:p w:rsidR="00340200" w:rsidRPr="00750AAE" w:rsidRDefault="00340200" w:rsidP="00D62E45">
            <w:pPr>
              <w:jc w:val="center"/>
              <w:rPr>
                <w:rFonts w:ascii="ＭＳ Ｐ明朝" w:eastAsia="ＭＳ Ｐ明朝" w:hAnsi="ＭＳ Ｐ明朝"/>
                <w:color w:val="000000" w:themeColor="text1"/>
                <w:szCs w:val="21"/>
              </w:rPr>
            </w:pPr>
          </w:p>
        </w:tc>
        <w:tc>
          <w:tcPr>
            <w:tcW w:w="634" w:type="dxa"/>
            <w:tcBorders>
              <w:top w:val="single" w:sz="8" w:space="0" w:color="auto"/>
            </w:tcBorders>
            <w:vAlign w:val="center"/>
          </w:tcPr>
          <w:p w:rsidR="00340200" w:rsidRPr="00750AAE" w:rsidRDefault="00340200" w:rsidP="00D62E45">
            <w:pPr>
              <w:jc w:val="center"/>
              <w:rPr>
                <w:rFonts w:ascii="ＭＳ Ｐ明朝" w:eastAsia="ＭＳ Ｐ明朝" w:hAnsi="ＭＳ Ｐ明朝"/>
                <w:color w:val="000000" w:themeColor="text1"/>
                <w:szCs w:val="21"/>
              </w:rPr>
            </w:pPr>
            <w:bookmarkStart w:id="0" w:name="OLE_LINK1"/>
            <w:r w:rsidRPr="00750AAE">
              <w:rPr>
                <w:rFonts w:ascii="ＭＳ Ｐ明朝" w:eastAsia="ＭＳ Ｐ明朝" w:hAnsi="ＭＳ Ｐ明朝"/>
                <w:color w:val="000000" w:themeColor="text1"/>
                <w:szCs w:val="21"/>
              </w:rPr>
              <w:t>事</w:t>
            </w:r>
            <w:bookmarkEnd w:id="0"/>
            <w:r w:rsidRPr="00750AAE">
              <w:rPr>
                <w:rFonts w:ascii="ＭＳ Ｐ明朝" w:eastAsia="ＭＳ Ｐ明朝" w:hAnsi="ＭＳ Ｐ明朝" w:hint="eastAsia"/>
                <w:color w:val="000000" w:themeColor="text1"/>
                <w:szCs w:val="21"/>
              </w:rPr>
              <w:t>後</w:t>
            </w:r>
          </w:p>
        </w:tc>
        <w:tc>
          <w:tcPr>
            <w:tcW w:w="2268" w:type="dxa"/>
            <w:tcBorders>
              <w:top w:val="single" w:sz="8" w:space="0" w:color="auto"/>
            </w:tcBorders>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新たな産地拡大を目指したニンジン等の品質向上技術開発</w:t>
            </w:r>
          </w:p>
        </w:tc>
        <w:tc>
          <w:tcPr>
            <w:tcW w:w="624" w:type="dxa"/>
            <w:tcBorders>
              <w:top w:val="single" w:sz="8"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top w:val="single" w:sz="8"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top w:val="single" w:sz="8" w:space="0" w:color="auto"/>
              <w:bottom w:val="single" w:sz="4" w:space="0" w:color="auto"/>
            </w:tcBorders>
            <w:shd w:val="clear" w:color="auto" w:fill="auto"/>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H27～29</w:t>
            </w:r>
          </w:p>
        </w:tc>
        <w:tc>
          <w:tcPr>
            <w:tcW w:w="4932" w:type="dxa"/>
            <w:tcBorders>
              <w:top w:val="single" w:sz="8" w:space="0" w:color="auto"/>
              <w:bottom w:val="single" w:sz="4" w:space="0" w:color="auto"/>
              <w:right w:val="single" w:sz="12" w:space="0" w:color="auto"/>
            </w:tcBorders>
            <w:vAlign w:val="center"/>
          </w:tcPr>
          <w:p w:rsidR="00340200" w:rsidRPr="00D60336" w:rsidRDefault="00340200" w:rsidP="00D62E45">
            <w:pPr>
              <w:spacing w:line="240" w:lineRule="exact"/>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・普及現場と密接に連携し、県内巡回や研修会等の園振協の活動を通して技術の着実な普及を図り、収量品質の向上、コスト低減につながるよう努める。</w:t>
            </w:r>
          </w:p>
          <w:p w:rsidR="00340200" w:rsidRPr="00D60336" w:rsidRDefault="00340200" w:rsidP="00D62E45">
            <w:pPr>
              <w:spacing w:line="240" w:lineRule="exact"/>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・栽培マニュアルや成果情報については、指導者や生産者がわかりやすく、活用しやすい内容となるように作成する。</w:t>
            </w:r>
          </w:p>
        </w:tc>
      </w:tr>
      <w:tr w:rsidR="00340200" w:rsidRPr="00980574" w:rsidTr="00D62E45">
        <w:trPr>
          <w:trHeight w:val="962"/>
        </w:trPr>
        <w:tc>
          <w:tcPr>
            <w:tcW w:w="642" w:type="dxa"/>
            <w:vMerge/>
            <w:tcBorders>
              <w:left w:val="single" w:sz="12" w:space="0" w:color="auto"/>
            </w:tcBorders>
            <w:vAlign w:val="center"/>
          </w:tcPr>
          <w:p w:rsidR="00340200" w:rsidRPr="00750AAE" w:rsidRDefault="00340200" w:rsidP="00D62E45">
            <w:pPr>
              <w:jc w:val="center"/>
              <w:rPr>
                <w:rFonts w:ascii="ＭＳ Ｐ明朝" w:eastAsia="ＭＳ Ｐ明朝" w:hAnsi="ＭＳ Ｐ明朝"/>
                <w:color w:val="000000" w:themeColor="text1"/>
                <w:szCs w:val="21"/>
              </w:rPr>
            </w:pPr>
          </w:p>
        </w:tc>
        <w:tc>
          <w:tcPr>
            <w:tcW w:w="634" w:type="dxa"/>
            <w:vAlign w:val="center"/>
          </w:tcPr>
          <w:p w:rsidR="00340200" w:rsidRPr="00750AAE" w:rsidRDefault="00340200" w:rsidP="00D62E45">
            <w:pPr>
              <w:jc w:val="center"/>
              <w:rPr>
                <w:rFonts w:ascii="ＭＳ Ｐ明朝" w:eastAsia="ＭＳ Ｐ明朝" w:hAnsi="ＭＳ Ｐ明朝"/>
                <w:color w:val="000000" w:themeColor="text1"/>
                <w:szCs w:val="21"/>
              </w:rPr>
            </w:pPr>
            <w:r w:rsidRPr="00750AAE">
              <w:rPr>
                <w:rFonts w:ascii="ＭＳ Ｐ明朝" w:eastAsia="ＭＳ Ｐ明朝" w:hAnsi="ＭＳ Ｐ明朝"/>
                <w:color w:val="000000" w:themeColor="text1"/>
                <w:szCs w:val="21"/>
              </w:rPr>
              <w:t>事</w:t>
            </w:r>
            <w:r w:rsidRPr="00750AAE">
              <w:rPr>
                <w:rFonts w:ascii="ＭＳ Ｐ明朝" w:eastAsia="ＭＳ Ｐ明朝" w:hAnsi="ＭＳ Ｐ明朝" w:hint="eastAsia"/>
                <w:color w:val="000000" w:themeColor="text1"/>
                <w:szCs w:val="21"/>
              </w:rPr>
              <w:t>後</w:t>
            </w:r>
          </w:p>
        </w:tc>
        <w:tc>
          <w:tcPr>
            <w:tcW w:w="2268" w:type="dxa"/>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タマネギ新作型開発と水田輪作におけるタマネギ栽培の体系化</w:t>
            </w:r>
          </w:p>
        </w:tc>
        <w:tc>
          <w:tcPr>
            <w:tcW w:w="624" w:type="dxa"/>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bottom w:val="single" w:sz="4" w:space="0" w:color="auto"/>
            </w:tcBorders>
            <w:shd w:val="clear" w:color="auto" w:fill="auto"/>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H27～29</w:t>
            </w:r>
          </w:p>
          <w:p w:rsidR="00340200" w:rsidRPr="00D60336" w:rsidRDefault="00340200" w:rsidP="00D62E45">
            <w:pPr>
              <w:rPr>
                <w:rFonts w:ascii="ＭＳ Ｐ明朝" w:eastAsia="ＭＳ Ｐ明朝" w:hAnsi="ＭＳ Ｐ明朝"/>
                <w:color w:val="000000" w:themeColor="text1"/>
                <w:szCs w:val="21"/>
              </w:rPr>
            </w:pPr>
          </w:p>
        </w:tc>
        <w:tc>
          <w:tcPr>
            <w:tcW w:w="4932" w:type="dxa"/>
            <w:tcBorders>
              <w:bottom w:val="single" w:sz="4" w:space="0" w:color="auto"/>
              <w:right w:val="single" w:sz="12" w:space="0" w:color="auto"/>
            </w:tcBorders>
            <w:vAlign w:val="center"/>
          </w:tcPr>
          <w:p w:rsidR="00340200" w:rsidRPr="00D60336" w:rsidRDefault="00340200" w:rsidP="00D62E45">
            <w:pPr>
              <w:spacing w:line="240" w:lineRule="exact"/>
              <w:contextualSpacing/>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 xml:space="preserve">・普及現場と密接に連携し、技術のブラッシュアップに努めるとともに、県内巡回や研修会等の園振協の活動を通して技術の着実な普及を図り、生産拡大につながるよう努める。　　　　　</w:t>
            </w:r>
          </w:p>
        </w:tc>
      </w:tr>
      <w:tr w:rsidR="00340200" w:rsidRPr="00980574" w:rsidTr="00D62E45">
        <w:trPr>
          <w:trHeight w:val="1020"/>
        </w:trPr>
        <w:tc>
          <w:tcPr>
            <w:tcW w:w="642" w:type="dxa"/>
            <w:vMerge/>
            <w:tcBorders>
              <w:left w:val="single" w:sz="12" w:space="0" w:color="auto"/>
              <w:bottom w:val="nil"/>
            </w:tcBorders>
            <w:vAlign w:val="center"/>
          </w:tcPr>
          <w:p w:rsidR="00340200" w:rsidRPr="00750AAE" w:rsidRDefault="00340200" w:rsidP="00D62E45">
            <w:pPr>
              <w:jc w:val="center"/>
              <w:rPr>
                <w:rFonts w:ascii="ＭＳ Ｐ明朝" w:eastAsia="ＭＳ Ｐ明朝" w:hAnsi="ＭＳ Ｐ明朝"/>
                <w:color w:val="000000" w:themeColor="text1"/>
                <w:szCs w:val="21"/>
              </w:rPr>
            </w:pPr>
          </w:p>
        </w:tc>
        <w:tc>
          <w:tcPr>
            <w:tcW w:w="634" w:type="dxa"/>
            <w:tcBorders>
              <w:bottom w:val="nil"/>
            </w:tcBorders>
            <w:vAlign w:val="center"/>
          </w:tcPr>
          <w:p w:rsidR="00340200" w:rsidRPr="00750AAE" w:rsidRDefault="00340200" w:rsidP="00D62E45">
            <w:pPr>
              <w:jc w:val="center"/>
              <w:rPr>
                <w:rFonts w:ascii="ＭＳ Ｐ明朝" w:eastAsia="ＭＳ Ｐ明朝" w:hAnsi="ＭＳ Ｐ明朝"/>
                <w:color w:val="000000" w:themeColor="text1"/>
                <w:szCs w:val="21"/>
              </w:rPr>
            </w:pPr>
            <w:r w:rsidRPr="00750AAE">
              <w:rPr>
                <w:rFonts w:ascii="ＭＳ Ｐ明朝" w:eastAsia="ＭＳ Ｐ明朝" w:hAnsi="ＭＳ Ｐ明朝" w:hint="eastAsia"/>
                <w:color w:val="000000" w:themeColor="text1"/>
                <w:szCs w:val="21"/>
              </w:rPr>
              <w:t>事後</w:t>
            </w:r>
          </w:p>
        </w:tc>
        <w:tc>
          <w:tcPr>
            <w:tcW w:w="2268" w:type="dxa"/>
            <w:tcBorders>
              <w:bottom w:val="single" w:sz="12" w:space="0" w:color="auto"/>
            </w:tcBorders>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果樹における木材腐朽病害対策技術の調査・研究</w:t>
            </w:r>
          </w:p>
        </w:tc>
        <w:tc>
          <w:tcPr>
            <w:tcW w:w="624" w:type="dxa"/>
            <w:tcBorders>
              <w:bottom w:val="single" w:sz="12"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bottom w:val="single" w:sz="12" w:space="0" w:color="auto"/>
            </w:tcBorders>
            <w:vAlign w:val="center"/>
          </w:tcPr>
          <w:p w:rsidR="00340200" w:rsidRPr="00D60336" w:rsidRDefault="00340200" w:rsidP="00D62E45">
            <w:pPr>
              <w:jc w:val="center"/>
              <w:rPr>
                <w:rFonts w:ascii="ＭＳ Ｐ明朝" w:eastAsia="ＭＳ Ｐ明朝" w:hAnsi="ＭＳ Ｐ明朝"/>
                <w:color w:val="000000" w:themeColor="text1"/>
                <w:szCs w:val="21"/>
              </w:rPr>
            </w:pPr>
            <w:r w:rsidRPr="00D60336">
              <w:rPr>
                <w:rFonts w:ascii="ＭＳ Ｐ明朝" w:eastAsia="ＭＳ Ｐ明朝" w:hAnsi="ＭＳ Ｐ明朝"/>
                <w:color w:val="000000" w:themeColor="text1"/>
                <w:szCs w:val="21"/>
              </w:rPr>
              <w:t>A</w:t>
            </w:r>
          </w:p>
        </w:tc>
        <w:tc>
          <w:tcPr>
            <w:tcW w:w="624" w:type="dxa"/>
            <w:tcBorders>
              <w:bottom w:val="single" w:sz="12" w:space="0" w:color="auto"/>
            </w:tcBorders>
            <w:shd w:val="clear" w:color="auto" w:fill="auto"/>
            <w:vAlign w:val="center"/>
          </w:tcPr>
          <w:p w:rsidR="00340200" w:rsidRPr="00D60336" w:rsidRDefault="00340200" w:rsidP="00D62E45">
            <w:pPr>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H26～29</w:t>
            </w:r>
          </w:p>
          <w:p w:rsidR="00340200" w:rsidRPr="00D60336" w:rsidRDefault="00340200" w:rsidP="00D62E45">
            <w:pPr>
              <w:rPr>
                <w:rFonts w:ascii="ＭＳ Ｐ明朝" w:eastAsia="ＭＳ Ｐ明朝" w:hAnsi="ＭＳ Ｐ明朝"/>
                <w:color w:val="000000" w:themeColor="text1"/>
                <w:szCs w:val="21"/>
              </w:rPr>
            </w:pPr>
          </w:p>
        </w:tc>
        <w:tc>
          <w:tcPr>
            <w:tcW w:w="4932" w:type="dxa"/>
            <w:tcBorders>
              <w:bottom w:val="single" w:sz="12" w:space="0" w:color="auto"/>
              <w:right w:val="single" w:sz="12" w:space="0" w:color="auto"/>
            </w:tcBorders>
            <w:vAlign w:val="center"/>
          </w:tcPr>
          <w:p w:rsidR="00340200" w:rsidRPr="00D60336" w:rsidRDefault="00340200" w:rsidP="00D62E45">
            <w:pPr>
              <w:spacing w:line="240" w:lineRule="exact"/>
              <w:rPr>
                <w:rFonts w:ascii="ＭＳ Ｐ明朝" w:eastAsia="ＭＳ Ｐ明朝" w:hAnsi="ＭＳ Ｐ明朝"/>
                <w:color w:val="000000" w:themeColor="text1"/>
                <w:szCs w:val="21"/>
              </w:rPr>
            </w:pPr>
            <w:r w:rsidRPr="00D60336">
              <w:rPr>
                <w:rFonts w:ascii="ＭＳ Ｐ明朝" w:eastAsia="ＭＳ Ｐ明朝" w:hAnsi="ＭＳ Ｐ明朝" w:hint="eastAsia"/>
                <w:color w:val="000000" w:themeColor="text1"/>
                <w:szCs w:val="21"/>
              </w:rPr>
              <w:t xml:space="preserve">・木材腐朽菌の樹体への侵入防止手段については、基本的に傷口への塗布殺菌剤処理の励行としているが、樹体内に侵入した木材腐朽菌の殺菌方法の研究と併せて（国研）農研機構や他県の研究機関との情報交換等を通じて共同研究の課題として実施を目指したい。　　　　　　　　　　　　</w:t>
            </w:r>
          </w:p>
        </w:tc>
      </w:tr>
      <w:tr w:rsidR="00340200" w:rsidRPr="00980574" w:rsidTr="00D62E45">
        <w:trPr>
          <w:trHeight w:val="963"/>
        </w:trPr>
        <w:tc>
          <w:tcPr>
            <w:tcW w:w="642" w:type="dxa"/>
            <w:vMerge w:val="restart"/>
            <w:tcBorders>
              <w:top w:val="single" w:sz="12" w:space="0" w:color="auto"/>
              <w:left w:val="single" w:sz="12"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畜産部会</w:t>
            </w:r>
          </w:p>
          <w:p w:rsidR="00340200" w:rsidRPr="008D39B8" w:rsidRDefault="00340200" w:rsidP="00D62E45">
            <w:pPr>
              <w:rPr>
                <w:rFonts w:ascii="ＭＳ Ｐ明朝" w:eastAsia="ＭＳ Ｐ明朝" w:hAnsi="ＭＳ Ｐ明朝"/>
                <w:color w:val="000000" w:themeColor="text1"/>
                <w:szCs w:val="21"/>
              </w:rPr>
            </w:pPr>
          </w:p>
        </w:tc>
        <w:tc>
          <w:tcPr>
            <w:tcW w:w="634" w:type="dxa"/>
            <w:tcBorders>
              <w:top w:val="single" w:sz="12"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Borders>
              <w:top w:val="single" w:sz="12" w:space="0" w:color="auto"/>
            </w:tcBorders>
            <w:vAlign w:val="center"/>
          </w:tcPr>
          <w:p w:rsidR="00340200" w:rsidRPr="008D39B8" w:rsidRDefault="00340200" w:rsidP="00D62E45">
            <w:pPr>
              <w:rPr>
                <w:rFonts w:ascii="ＭＳ Ｐ明朝" w:eastAsia="ＭＳ Ｐ明朝" w:hAnsi="ＭＳ Ｐ明朝"/>
                <w:color w:val="000000" w:themeColor="text1"/>
                <w:sz w:val="16"/>
                <w:szCs w:val="16"/>
              </w:rPr>
            </w:pPr>
            <w:r w:rsidRPr="008D39B8">
              <w:rPr>
                <w:rFonts w:ascii="ＭＳ Ｐ明朝" w:eastAsia="ＭＳ Ｐ明朝" w:hAnsi="ＭＳ Ｐ明朝" w:hint="eastAsia"/>
                <w:color w:val="000000" w:themeColor="text1"/>
                <w:sz w:val="16"/>
                <w:szCs w:val="16"/>
              </w:rPr>
              <w:t>新生子豚のストレス軽減に配慮した豚飼養管理技術の確立</w:t>
            </w:r>
          </w:p>
        </w:tc>
        <w:tc>
          <w:tcPr>
            <w:tcW w:w="624" w:type="dxa"/>
            <w:tcBorders>
              <w:top w:val="single" w:sz="12"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Borders>
              <w:top w:val="single" w:sz="12"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tcBorders>
              <w:top w:val="single" w:sz="12" w:space="0" w:color="auto"/>
            </w:tcBorders>
            <w:shd w:val="clear" w:color="auto" w:fill="auto"/>
            <w:vAlign w:val="center"/>
          </w:tcPr>
          <w:p w:rsidR="00340200" w:rsidRPr="008D39B8" w:rsidRDefault="00340200" w:rsidP="00D62E45">
            <w:pP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H</w:t>
            </w:r>
            <w:r w:rsidRPr="008D39B8">
              <w:rPr>
                <w:rFonts w:ascii="ＭＳ Ｐ明朝" w:eastAsia="ＭＳ Ｐ明朝" w:hAnsi="ＭＳ Ｐ明朝" w:hint="eastAsia"/>
                <w:color w:val="000000" w:themeColor="text1"/>
                <w:szCs w:val="21"/>
              </w:rPr>
              <w:t>31</w:t>
            </w:r>
            <w:r w:rsidRPr="008D39B8">
              <w:rPr>
                <w:rFonts w:ascii="ＭＳ Ｐ明朝" w:eastAsia="ＭＳ Ｐ明朝" w:hAnsi="ＭＳ Ｐ明朝"/>
                <w:color w:val="000000" w:themeColor="text1"/>
                <w:szCs w:val="21"/>
              </w:rPr>
              <w:t>～</w:t>
            </w:r>
            <w:r w:rsidRPr="008D39B8">
              <w:rPr>
                <w:rFonts w:ascii="ＭＳ Ｐ明朝" w:eastAsia="ＭＳ Ｐ明朝" w:hAnsi="ＭＳ Ｐ明朝" w:hint="eastAsia"/>
                <w:color w:val="000000" w:themeColor="text1"/>
                <w:szCs w:val="21"/>
              </w:rPr>
              <w:t>33</w:t>
            </w:r>
          </w:p>
        </w:tc>
        <w:tc>
          <w:tcPr>
            <w:tcW w:w="4932" w:type="dxa"/>
            <w:tcBorders>
              <w:top w:val="single" w:sz="12" w:space="0" w:color="auto"/>
              <w:right w:val="single" w:sz="12" w:space="0" w:color="auto"/>
            </w:tcBorders>
            <w:vAlign w:val="center"/>
          </w:tcPr>
          <w:p w:rsidR="00340200" w:rsidRPr="008D39B8" w:rsidRDefault="00340200" w:rsidP="00D62E45">
            <w:pPr>
              <w:spacing w:line="240" w:lineRule="exac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・研究成果を定着させるには、今後、関係機関と連携し作業効率やコストなど残された課題の解決を図るとともに、農場ごとに飼養環境等が異なるため、各農場に適合した具体的な方策を講じていく。</w:t>
            </w:r>
          </w:p>
          <w:p w:rsidR="00340200" w:rsidRPr="008D39B8" w:rsidRDefault="00340200" w:rsidP="00D62E45">
            <w:pPr>
              <w:spacing w:line="240" w:lineRule="exac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・平成31年度新規課題として予算要求する。</w:t>
            </w:r>
          </w:p>
        </w:tc>
      </w:tr>
      <w:tr w:rsidR="00340200" w:rsidRPr="00980574" w:rsidTr="00D62E45">
        <w:trPr>
          <w:trHeight w:val="963"/>
        </w:trPr>
        <w:tc>
          <w:tcPr>
            <w:tcW w:w="642" w:type="dxa"/>
            <w:vMerge/>
            <w:tcBorders>
              <w:left w:val="single" w:sz="12"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p>
        </w:tc>
        <w:tc>
          <w:tcPr>
            <w:tcW w:w="634" w:type="dxa"/>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vAlign w:val="center"/>
          </w:tcPr>
          <w:p w:rsidR="00340200" w:rsidRPr="008D39B8" w:rsidRDefault="00340200" w:rsidP="00D62E45">
            <w:pP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肉用牛ゲノミック評価を活用した「とやま肉牛」改良促進技術の開発</w:t>
            </w:r>
          </w:p>
        </w:tc>
        <w:tc>
          <w:tcPr>
            <w:tcW w:w="624" w:type="dxa"/>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A</w:t>
            </w:r>
          </w:p>
        </w:tc>
        <w:tc>
          <w:tcPr>
            <w:tcW w:w="624" w:type="dxa"/>
            <w:shd w:val="clear" w:color="auto" w:fill="auto"/>
            <w:vAlign w:val="center"/>
          </w:tcPr>
          <w:p w:rsidR="00340200" w:rsidRPr="008D39B8" w:rsidRDefault="00340200" w:rsidP="00D62E45">
            <w:pP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H</w:t>
            </w:r>
            <w:r w:rsidRPr="008D39B8">
              <w:rPr>
                <w:rFonts w:ascii="ＭＳ Ｐ明朝" w:eastAsia="ＭＳ Ｐ明朝" w:hAnsi="ＭＳ Ｐ明朝" w:hint="eastAsia"/>
                <w:color w:val="000000" w:themeColor="text1"/>
                <w:szCs w:val="21"/>
              </w:rPr>
              <w:t>31</w:t>
            </w:r>
            <w:r w:rsidRPr="008D39B8">
              <w:rPr>
                <w:rFonts w:ascii="ＭＳ Ｐ明朝" w:eastAsia="ＭＳ Ｐ明朝" w:hAnsi="ＭＳ Ｐ明朝"/>
                <w:color w:val="000000" w:themeColor="text1"/>
                <w:szCs w:val="21"/>
              </w:rPr>
              <w:t>～</w:t>
            </w:r>
            <w:r w:rsidRPr="008D39B8">
              <w:rPr>
                <w:rFonts w:ascii="ＭＳ Ｐ明朝" w:eastAsia="ＭＳ Ｐ明朝" w:hAnsi="ＭＳ Ｐ明朝" w:hint="eastAsia"/>
                <w:color w:val="000000" w:themeColor="text1"/>
                <w:szCs w:val="21"/>
              </w:rPr>
              <w:t>33</w:t>
            </w:r>
          </w:p>
        </w:tc>
        <w:tc>
          <w:tcPr>
            <w:tcW w:w="4932" w:type="dxa"/>
            <w:tcBorders>
              <w:right w:val="single" w:sz="12" w:space="0" w:color="auto"/>
            </w:tcBorders>
            <w:vAlign w:val="center"/>
          </w:tcPr>
          <w:p w:rsidR="00340200" w:rsidRPr="008D39B8" w:rsidRDefault="00340200" w:rsidP="00D62E45">
            <w:pPr>
              <w:spacing w:line="240" w:lineRule="exac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・研究成果については、普及センターの肉用牛技術改善総合システム（BTTS）に組み入れて、家保や普及センターと連携した総合的な指導を実施することを検討する</w:t>
            </w:r>
          </w:p>
          <w:p w:rsidR="00340200" w:rsidRPr="008D39B8" w:rsidRDefault="00340200" w:rsidP="00D62E45">
            <w:pPr>
              <w:spacing w:line="240" w:lineRule="exac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・平成31年度新規課題として予算要求する。</w:t>
            </w:r>
          </w:p>
        </w:tc>
      </w:tr>
      <w:tr w:rsidR="00340200" w:rsidRPr="00980574" w:rsidTr="00D62E45">
        <w:trPr>
          <w:trHeight w:val="416"/>
        </w:trPr>
        <w:tc>
          <w:tcPr>
            <w:tcW w:w="642" w:type="dxa"/>
            <w:vMerge/>
            <w:tcBorders>
              <w:left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p>
        </w:tc>
        <w:tc>
          <w:tcPr>
            <w:tcW w:w="63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Borders>
              <w:bottom w:val="single" w:sz="12" w:space="0" w:color="auto"/>
            </w:tcBorders>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ドライエイジングによるプレミアム牛肉の生産技術の解明</w:t>
            </w:r>
          </w:p>
        </w:tc>
        <w:tc>
          <w:tcPr>
            <w:tcW w:w="62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bottom w:val="single" w:sz="12" w:space="0" w:color="auto"/>
            </w:tcBorders>
            <w:shd w:val="clear" w:color="auto" w:fill="auto"/>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H</w:t>
            </w:r>
            <w:r w:rsidRPr="00762893">
              <w:rPr>
                <w:rFonts w:ascii="ＭＳ Ｐ明朝" w:eastAsia="ＭＳ Ｐ明朝" w:hAnsi="ＭＳ Ｐ明朝" w:hint="eastAsia"/>
                <w:color w:val="000000" w:themeColor="text1"/>
                <w:szCs w:val="21"/>
              </w:rPr>
              <w:t>27</w:t>
            </w:r>
            <w:r w:rsidRPr="00762893">
              <w:rPr>
                <w:rFonts w:ascii="ＭＳ Ｐ明朝" w:eastAsia="ＭＳ Ｐ明朝" w:hAnsi="ＭＳ Ｐ明朝"/>
                <w:color w:val="000000" w:themeColor="text1"/>
                <w:szCs w:val="21"/>
              </w:rPr>
              <w:t>～</w:t>
            </w:r>
            <w:r w:rsidRPr="00762893">
              <w:rPr>
                <w:rFonts w:ascii="ＭＳ Ｐ明朝" w:eastAsia="ＭＳ Ｐ明朝" w:hAnsi="ＭＳ Ｐ明朝" w:hint="eastAsia"/>
                <w:color w:val="000000" w:themeColor="text1"/>
                <w:szCs w:val="21"/>
              </w:rPr>
              <w:t>29</w:t>
            </w:r>
          </w:p>
        </w:tc>
        <w:tc>
          <w:tcPr>
            <w:tcW w:w="4932" w:type="dxa"/>
            <w:tcBorders>
              <w:bottom w:val="single" w:sz="12" w:space="0" w:color="auto"/>
              <w:right w:val="single" w:sz="12" w:space="0" w:color="auto"/>
            </w:tcBorders>
            <w:vAlign w:val="center"/>
          </w:tcPr>
          <w:p w:rsidR="00340200" w:rsidRPr="00762893" w:rsidRDefault="00340200" w:rsidP="00D62E45">
            <w:pPr>
              <w:spacing w:line="240" w:lineRule="exact"/>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・県産牛肉の高付加価値化やブランド化を図るため、廃用牛の利用やコストなど残された課題の解決を図るとともに、関係機関と連携し研究成果や安全性等の情報提供や現場指導に取り組んでいく。</w:t>
            </w:r>
          </w:p>
        </w:tc>
      </w:tr>
      <w:tr w:rsidR="00340200" w:rsidRPr="00980574" w:rsidTr="00D62E45">
        <w:trPr>
          <w:trHeight w:val="963"/>
        </w:trPr>
        <w:tc>
          <w:tcPr>
            <w:tcW w:w="642" w:type="dxa"/>
            <w:vMerge/>
            <w:tcBorders>
              <w:top w:val="single" w:sz="12" w:space="0" w:color="auto"/>
              <w:left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p>
        </w:tc>
        <w:tc>
          <w:tcPr>
            <w:tcW w:w="634" w:type="dxa"/>
            <w:tcBorders>
              <w:top w:val="single" w:sz="12" w:space="0" w:color="auto"/>
              <w:bottom w:val="single" w:sz="12" w:space="0" w:color="auto"/>
              <w:right w:val="single" w:sz="8"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事後</w:t>
            </w:r>
          </w:p>
        </w:tc>
        <w:tc>
          <w:tcPr>
            <w:tcW w:w="2268" w:type="dxa"/>
            <w:tcBorders>
              <w:top w:val="single" w:sz="12" w:space="0" w:color="auto"/>
              <w:left w:val="single" w:sz="8" w:space="0" w:color="auto"/>
              <w:bottom w:val="single" w:sz="12" w:space="0" w:color="auto"/>
            </w:tcBorders>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肉用肥育牛向け大麦わらサイレージ給与技術の確立</w:t>
            </w:r>
          </w:p>
        </w:tc>
        <w:tc>
          <w:tcPr>
            <w:tcW w:w="624" w:type="dxa"/>
            <w:tcBorders>
              <w:top w:val="single" w:sz="12" w:space="0" w:color="auto"/>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top w:val="single" w:sz="12" w:space="0" w:color="auto"/>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top w:val="single" w:sz="12" w:space="0" w:color="auto"/>
              <w:bottom w:val="single" w:sz="12" w:space="0" w:color="auto"/>
            </w:tcBorders>
            <w:shd w:val="clear" w:color="auto" w:fill="auto"/>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H</w:t>
            </w:r>
            <w:r w:rsidRPr="00762893">
              <w:rPr>
                <w:rFonts w:ascii="ＭＳ Ｐ明朝" w:eastAsia="ＭＳ Ｐ明朝" w:hAnsi="ＭＳ Ｐ明朝" w:hint="eastAsia"/>
                <w:color w:val="000000" w:themeColor="text1"/>
                <w:szCs w:val="21"/>
              </w:rPr>
              <w:t>27</w:t>
            </w:r>
            <w:r w:rsidRPr="00762893">
              <w:rPr>
                <w:rFonts w:ascii="ＭＳ Ｐ明朝" w:eastAsia="ＭＳ Ｐ明朝" w:hAnsi="ＭＳ Ｐ明朝"/>
                <w:color w:val="000000" w:themeColor="text1"/>
                <w:szCs w:val="21"/>
              </w:rPr>
              <w:t>～</w:t>
            </w:r>
            <w:r w:rsidRPr="00762893">
              <w:rPr>
                <w:rFonts w:ascii="ＭＳ Ｐ明朝" w:eastAsia="ＭＳ Ｐ明朝" w:hAnsi="ＭＳ Ｐ明朝" w:hint="eastAsia"/>
                <w:color w:val="000000" w:themeColor="text1"/>
                <w:szCs w:val="21"/>
              </w:rPr>
              <w:t>29</w:t>
            </w:r>
          </w:p>
        </w:tc>
        <w:tc>
          <w:tcPr>
            <w:tcW w:w="4932" w:type="dxa"/>
            <w:tcBorders>
              <w:top w:val="single" w:sz="12" w:space="0" w:color="auto"/>
              <w:bottom w:val="single" w:sz="12" w:space="0" w:color="auto"/>
              <w:right w:val="single" w:sz="12" w:space="0" w:color="auto"/>
            </w:tcBorders>
            <w:vAlign w:val="center"/>
          </w:tcPr>
          <w:p w:rsidR="00340200" w:rsidRPr="00762893" w:rsidRDefault="00340200" w:rsidP="00D62E45">
            <w:pPr>
              <w:spacing w:line="240" w:lineRule="exact"/>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・今後、耕種農家とのマッチングについての具体的な方策やコストなど残された課題の解決を図るとともに、関係機関と連携し畜産農家への情報提供や現場指導に取り組んでいく。</w:t>
            </w:r>
          </w:p>
        </w:tc>
      </w:tr>
      <w:tr w:rsidR="00340200" w:rsidRPr="00980574" w:rsidTr="00D62E45">
        <w:trPr>
          <w:trHeight w:val="660"/>
        </w:trPr>
        <w:tc>
          <w:tcPr>
            <w:tcW w:w="642" w:type="dxa"/>
            <w:vMerge w:val="restart"/>
            <w:tcBorders>
              <w:top w:val="nil"/>
              <w:left w:val="single" w:sz="12" w:space="0" w:color="auto"/>
            </w:tcBorders>
            <w:vAlign w:val="center"/>
          </w:tcPr>
          <w:p w:rsidR="00340200" w:rsidRPr="008D39B8" w:rsidRDefault="00340200" w:rsidP="00D62E45">
            <w:pPr>
              <w:rPr>
                <w:rFonts w:ascii="ＭＳ Ｐ明朝" w:eastAsia="ＭＳ Ｐ明朝" w:hAnsi="ＭＳ Ｐ明朝"/>
                <w:color w:val="000000" w:themeColor="text1"/>
                <w:szCs w:val="21"/>
              </w:rPr>
            </w:pPr>
          </w:p>
          <w:p w:rsidR="00340200" w:rsidRDefault="00340200" w:rsidP="00D62E45">
            <w:pPr>
              <w:jc w:val="center"/>
              <w:rPr>
                <w:rFonts w:ascii="ＭＳ Ｐ明朝" w:eastAsia="ＭＳ Ｐ明朝" w:hAnsi="ＭＳ Ｐ明朝"/>
                <w:color w:val="000000" w:themeColor="text1"/>
                <w:szCs w:val="21"/>
              </w:rPr>
            </w:pPr>
          </w:p>
          <w:p w:rsidR="00340200" w:rsidRDefault="00340200" w:rsidP="00D62E45">
            <w:pPr>
              <w:jc w:val="center"/>
              <w:rPr>
                <w:rFonts w:ascii="ＭＳ Ｐ明朝" w:eastAsia="ＭＳ Ｐ明朝" w:hAnsi="ＭＳ Ｐ明朝"/>
                <w:color w:val="000000" w:themeColor="text1"/>
                <w:szCs w:val="21"/>
              </w:rPr>
            </w:pPr>
          </w:p>
          <w:p w:rsidR="00340200" w:rsidRDefault="00340200" w:rsidP="00D62E45">
            <w:pPr>
              <w:jc w:val="center"/>
              <w:rPr>
                <w:rFonts w:ascii="ＭＳ Ｐ明朝" w:eastAsia="ＭＳ Ｐ明朝" w:hAnsi="ＭＳ Ｐ明朝"/>
                <w:color w:val="000000" w:themeColor="text1"/>
                <w:szCs w:val="21"/>
              </w:rPr>
            </w:pPr>
          </w:p>
          <w:p w:rsidR="00340200" w:rsidRPr="008D39B8" w:rsidRDefault="00340200" w:rsidP="00D62E45">
            <w:pPr>
              <w:jc w:val="center"/>
              <w:rPr>
                <w:rFonts w:ascii="ＭＳ Ｐ明朝" w:eastAsia="ＭＳ Ｐ明朝" w:hAnsi="ＭＳ Ｐ明朝"/>
                <w:color w:val="000000" w:themeColor="text1"/>
                <w:szCs w:val="21"/>
              </w:rPr>
            </w:pPr>
          </w:p>
          <w:p w:rsidR="00340200" w:rsidRPr="008D39B8" w:rsidRDefault="00340200" w:rsidP="00D62E45">
            <w:pPr>
              <w:jc w:val="left"/>
              <w:rPr>
                <w:rFonts w:ascii="ＭＳ Ｐ明朝" w:eastAsia="ＭＳ Ｐ明朝" w:hAnsi="ＭＳ Ｐ明朝"/>
                <w:color w:val="000000" w:themeColor="text1"/>
                <w:szCs w:val="21"/>
              </w:rPr>
            </w:pPr>
            <w:r w:rsidRPr="008D39B8">
              <w:rPr>
                <w:rFonts w:ascii="ＭＳ Ｐ明朝" w:eastAsia="ＭＳ Ｐ明朝" w:hAnsi="ＭＳ Ｐ明朝" w:hint="eastAsia"/>
                <w:color w:val="000000" w:themeColor="text1"/>
                <w:szCs w:val="21"/>
              </w:rPr>
              <w:t>食品加工部会</w:t>
            </w:r>
          </w:p>
          <w:p w:rsidR="00340200" w:rsidRPr="008D39B8" w:rsidRDefault="00340200" w:rsidP="00D62E45">
            <w:pPr>
              <w:jc w:val="left"/>
              <w:rPr>
                <w:rFonts w:ascii="ＭＳ Ｐ明朝" w:eastAsia="ＭＳ Ｐ明朝" w:hAnsi="ＭＳ Ｐ明朝"/>
                <w:color w:val="000000" w:themeColor="text1"/>
                <w:szCs w:val="21"/>
              </w:rPr>
            </w:pPr>
          </w:p>
          <w:p w:rsidR="00340200" w:rsidRPr="008D39B8" w:rsidRDefault="00340200" w:rsidP="00D62E45">
            <w:pPr>
              <w:jc w:val="left"/>
              <w:rPr>
                <w:rFonts w:ascii="ＭＳ Ｐ明朝" w:eastAsia="ＭＳ Ｐ明朝" w:hAnsi="ＭＳ Ｐ明朝"/>
                <w:color w:val="000000" w:themeColor="text1"/>
                <w:szCs w:val="21"/>
              </w:rPr>
            </w:pPr>
          </w:p>
          <w:p w:rsidR="00340200" w:rsidRPr="008D39B8" w:rsidRDefault="00340200" w:rsidP="00D62E45">
            <w:pPr>
              <w:jc w:val="left"/>
              <w:rPr>
                <w:rFonts w:ascii="ＭＳ Ｐ明朝" w:eastAsia="ＭＳ Ｐ明朝" w:hAnsi="ＭＳ Ｐ明朝"/>
                <w:color w:val="000000" w:themeColor="text1"/>
                <w:szCs w:val="21"/>
              </w:rPr>
            </w:pPr>
          </w:p>
        </w:tc>
        <w:tc>
          <w:tcPr>
            <w:tcW w:w="634" w:type="dxa"/>
            <w:tcBorders>
              <w:top w:val="single" w:sz="12" w:space="0" w:color="auto"/>
              <w:right w:val="single" w:sz="8" w:space="0" w:color="auto"/>
            </w:tcBorders>
            <w:vAlign w:val="center"/>
          </w:tcPr>
          <w:p w:rsidR="00340200" w:rsidRPr="008D39B8" w:rsidRDefault="00340200" w:rsidP="00D62E45">
            <w:pPr>
              <w:jc w:val="center"/>
              <w:rPr>
                <w:rFonts w:ascii="ＭＳ Ｐ明朝" w:eastAsia="ＭＳ Ｐ明朝" w:hAnsi="ＭＳ Ｐ明朝"/>
                <w:color w:val="000000" w:themeColor="text1"/>
                <w:szCs w:val="21"/>
              </w:rPr>
            </w:pPr>
            <w:r w:rsidRPr="008D39B8">
              <w:rPr>
                <w:rFonts w:ascii="ＭＳ Ｐ明朝" w:eastAsia="ＭＳ Ｐ明朝" w:hAnsi="ＭＳ Ｐ明朝"/>
                <w:color w:val="000000" w:themeColor="text1"/>
                <w:szCs w:val="21"/>
              </w:rPr>
              <w:t>事前</w:t>
            </w:r>
          </w:p>
        </w:tc>
        <w:tc>
          <w:tcPr>
            <w:tcW w:w="2268" w:type="dxa"/>
            <w:tcBorders>
              <w:top w:val="single" w:sz="12" w:space="0" w:color="auto"/>
              <w:left w:val="single" w:sz="8" w:space="0" w:color="auto"/>
            </w:tcBorders>
            <w:vAlign w:val="center"/>
          </w:tcPr>
          <w:p w:rsidR="00340200" w:rsidRPr="00980574" w:rsidRDefault="00340200" w:rsidP="00D62E45">
            <w:pP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県産農林産未利用資源の有効利用技術の開発</w:t>
            </w:r>
          </w:p>
        </w:tc>
        <w:tc>
          <w:tcPr>
            <w:tcW w:w="624" w:type="dxa"/>
            <w:tcBorders>
              <w:top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Borders>
              <w:top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Borders>
              <w:top w:val="single" w:sz="12" w:space="0" w:color="auto"/>
            </w:tcBorders>
            <w:shd w:val="clear" w:color="auto" w:fill="auto"/>
            <w:vAlign w:val="center"/>
          </w:tcPr>
          <w:p w:rsidR="00340200" w:rsidRPr="00980574" w:rsidRDefault="00340200" w:rsidP="00D62E45">
            <w:pPr>
              <w:rPr>
                <w:rFonts w:ascii="ＭＳ Ｐ明朝" w:eastAsia="ＭＳ Ｐ明朝" w:hAnsi="ＭＳ Ｐ明朝"/>
                <w:color w:val="FF0000"/>
                <w:szCs w:val="21"/>
              </w:rPr>
            </w:pPr>
            <w:r w:rsidRPr="00762893">
              <w:rPr>
                <w:rFonts w:ascii="ＭＳ Ｐ明朝" w:eastAsia="ＭＳ Ｐ明朝" w:hAnsi="ＭＳ Ｐ明朝"/>
                <w:color w:val="000000" w:themeColor="text1"/>
                <w:szCs w:val="21"/>
              </w:rPr>
              <w:t>H</w:t>
            </w:r>
            <w:r w:rsidRPr="00762893">
              <w:rPr>
                <w:rFonts w:ascii="ＭＳ Ｐ明朝" w:eastAsia="ＭＳ Ｐ明朝" w:hAnsi="ＭＳ Ｐ明朝" w:hint="eastAsia"/>
                <w:color w:val="000000" w:themeColor="text1"/>
                <w:szCs w:val="21"/>
              </w:rPr>
              <w:t>31</w:t>
            </w:r>
            <w:r w:rsidRPr="00762893">
              <w:rPr>
                <w:rFonts w:ascii="ＭＳ Ｐ明朝" w:eastAsia="ＭＳ Ｐ明朝" w:hAnsi="ＭＳ Ｐ明朝"/>
                <w:color w:val="000000" w:themeColor="text1"/>
                <w:szCs w:val="21"/>
              </w:rPr>
              <w:t>～</w:t>
            </w:r>
            <w:r w:rsidRPr="00762893">
              <w:rPr>
                <w:rFonts w:ascii="ＭＳ Ｐ明朝" w:eastAsia="ＭＳ Ｐ明朝" w:hAnsi="ＭＳ Ｐ明朝" w:hint="eastAsia"/>
                <w:color w:val="000000" w:themeColor="text1"/>
                <w:szCs w:val="21"/>
              </w:rPr>
              <w:t>33</w:t>
            </w:r>
          </w:p>
        </w:tc>
        <w:tc>
          <w:tcPr>
            <w:tcW w:w="4932" w:type="dxa"/>
            <w:tcBorders>
              <w:top w:val="single" w:sz="8" w:space="0" w:color="auto"/>
              <w:right w:val="single" w:sz="12" w:space="0" w:color="auto"/>
            </w:tcBorders>
            <w:vAlign w:val="center"/>
          </w:tcPr>
          <w:p w:rsidR="00340200" w:rsidRPr="00762893" w:rsidRDefault="00340200" w:rsidP="00D62E45">
            <w:pPr>
              <w:spacing w:line="240" w:lineRule="exact"/>
              <w:rPr>
                <w:color w:val="000000" w:themeColor="text1"/>
              </w:rPr>
            </w:pPr>
            <w:r w:rsidRPr="00762893">
              <w:rPr>
                <w:rFonts w:hint="eastAsia"/>
                <w:color w:val="000000" w:themeColor="text1"/>
              </w:rPr>
              <w:t>・これら未利用資源の利用法について、実用現場で対応可能な容易で安価な方法を考慮しながら技術開発を進める。</w:t>
            </w:r>
          </w:p>
          <w:p w:rsidR="00340200" w:rsidRPr="00762893" w:rsidRDefault="00340200" w:rsidP="00D62E45">
            <w:pPr>
              <w:spacing w:line="240" w:lineRule="exact"/>
              <w:rPr>
                <w:color w:val="000000" w:themeColor="text1"/>
              </w:rPr>
            </w:pPr>
            <w:r w:rsidRPr="00762893">
              <w:rPr>
                <w:rFonts w:hint="eastAsia"/>
                <w:color w:val="000000" w:themeColor="text1"/>
              </w:rPr>
              <w:t>・各現場での供給量を考慮し、それぞれの経営体に適した技術開発を行う。</w:t>
            </w:r>
          </w:p>
          <w:p w:rsidR="00340200" w:rsidRPr="00980574" w:rsidRDefault="00340200" w:rsidP="00D62E45">
            <w:pPr>
              <w:spacing w:line="240" w:lineRule="exact"/>
              <w:rPr>
                <w:rFonts w:ascii="ＭＳ Ｐ明朝" w:eastAsia="ＭＳ Ｐ明朝" w:hAnsi="ＭＳ Ｐ明朝"/>
                <w:color w:val="FF0000"/>
                <w:szCs w:val="21"/>
              </w:rPr>
            </w:pPr>
            <w:r w:rsidRPr="00762893">
              <w:rPr>
                <w:rFonts w:hint="eastAsia"/>
                <w:color w:val="000000" w:themeColor="text1"/>
              </w:rPr>
              <w:t>・本課題で扱うβグルカン、ギャバやケルセチン等の機能成分については知名度があり、それらの健康機能性がアピールできるように商品開発を行う。</w:t>
            </w:r>
          </w:p>
        </w:tc>
      </w:tr>
      <w:tr w:rsidR="00340200" w:rsidRPr="00980574" w:rsidTr="00D62E45">
        <w:trPr>
          <w:trHeight w:val="288"/>
        </w:trPr>
        <w:tc>
          <w:tcPr>
            <w:tcW w:w="642" w:type="dxa"/>
            <w:vMerge/>
            <w:tcBorders>
              <w:top w:val="nil"/>
              <w:left w:val="single" w:sz="12" w:space="0" w:color="auto"/>
            </w:tcBorders>
            <w:vAlign w:val="center"/>
          </w:tcPr>
          <w:p w:rsidR="00340200" w:rsidRPr="00980574" w:rsidRDefault="00340200" w:rsidP="00D62E45">
            <w:pPr>
              <w:jc w:val="left"/>
              <w:rPr>
                <w:rFonts w:ascii="ＭＳ Ｐ明朝" w:eastAsia="ＭＳ Ｐ明朝" w:hAnsi="ＭＳ Ｐ明朝"/>
                <w:color w:val="FF0000"/>
                <w:szCs w:val="21"/>
              </w:rPr>
            </w:pPr>
          </w:p>
        </w:tc>
        <w:tc>
          <w:tcPr>
            <w:tcW w:w="634" w:type="dxa"/>
            <w:vAlign w:val="center"/>
          </w:tcPr>
          <w:p w:rsidR="00340200" w:rsidRPr="00980574" w:rsidRDefault="00340200" w:rsidP="00D62E45">
            <w:pPr>
              <w:jc w:val="center"/>
              <w:rPr>
                <w:rFonts w:ascii="ＭＳ Ｐ明朝" w:eastAsia="ＭＳ Ｐ明朝" w:hAnsi="ＭＳ Ｐ明朝"/>
                <w:color w:val="FF0000"/>
                <w:szCs w:val="21"/>
              </w:rPr>
            </w:pPr>
            <w:r w:rsidRPr="00762893">
              <w:rPr>
                <w:rFonts w:ascii="ＭＳ Ｐ明朝" w:eastAsia="ＭＳ Ｐ明朝" w:hAnsi="ＭＳ Ｐ明朝"/>
                <w:color w:val="000000" w:themeColor="text1"/>
                <w:szCs w:val="21"/>
              </w:rPr>
              <w:t>事前</w:t>
            </w:r>
          </w:p>
        </w:tc>
        <w:tc>
          <w:tcPr>
            <w:tcW w:w="2268" w:type="dxa"/>
            <w:vAlign w:val="center"/>
          </w:tcPr>
          <w:p w:rsidR="00340200" w:rsidRPr="00980574" w:rsidRDefault="00340200" w:rsidP="00D62E45">
            <w:pP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県産清酒の輸出対応高品質化技術の開発</w:t>
            </w:r>
          </w:p>
        </w:tc>
        <w:tc>
          <w:tcPr>
            <w:tcW w:w="624" w:type="dxa"/>
          </w:tcPr>
          <w:p w:rsidR="00600CB9" w:rsidRDefault="00600CB9" w:rsidP="00D62E45">
            <w:pPr>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p>
          <w:p w:rsidR="00600CB9" w:rsidRDefault="00600CB9" w:rsidP="00D62E45">
            <w:pPr>
              <w:jc w:val="center"/>
              <w:rPr>
                <w:rFonts w:ascii="ＭＳ Ｐ明朝" w:eastAsia="ＭＳ Ｐ明朝" w:hAnsi="ＭＳ Ｐ明朝"/>
                <w:color w:val="000000" w:themeColor="text1"/>
                <w:szCs w:val="21"/>
              </w:rPr>
            </w:pPr>
          </w:p>
          <w:p w:rsidR="00340200" w:rsidRPr="00980574" w:rsidRDefault="00340200" w:rsidP="00D62E45">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tcPr>
          <w:p w:rsidR="00600CB9" w:rsidRDefault="00600CB9" w:rsidP="00D62E45">
            <w:pPr>
              <w:jc w:val="center"/>
              <w:rPr>
                <w:rFonts w:ascii="ＭＳ Ｐ明朝" w:eastAsia="ＭＳ Ｐ明朝" w:hAnsi="ＭＳ Ｐ明朝"/>
                <w:color w:val="000000" w:themeColor="text1"/>
                <w:szCs w:val="21"/>
              </w:rPr>
            </w:pPr>
          </w:p>
          <w:p w:rsidR="00600CB9" w:rsidRDefault="00600CB9" w:rsidP="00D62E45">
            <w:pPr>
              <w:jc w:val="center"/>
              <w:rPr>
                <w:rFonts w:ascii="ＭＳ Ｐ明朝" w:eastAsia="ＭＳ Ｐ明朝" w:hAnsi="ＭＳ Ｐ明朝"/>
                <w:color w:val="000000" w:themeColor="text1"/>
                <w:szCs w:val="21"/>
              </w:rPr>
            </w:pPr>
          </w:p>
          <w:p w:rsidR="00340200" w:rsidRPr="00980574" w:rsidRDefault="00340200" w:rsidP="00D62E45">
            <w:pPr>
              <w:jc w:val="center"/>
              <w:rPr>
                <w:rFonts w:ascii="ＭＳ Ｐ明朝" w:eastAsia="ＭＳ Ｐ明朝" w:hAnsi="ＭＳ Ｐ明朝"/>
                <w:color w:val="FF0000"/>
                <w:szCs w:val="21"/>
              </w:rPr>
            </w:pPr>
            <w:r w:rsidRPr="00762893">
              <w:rPr>
                <w:rFonts w:ascii="ＭＳ Ｐ明朝" w:eastAsia="ＭＳ Ｐ明朝" w:hAnsi="ＭＳ Ｐ明朝" w:hint="eastAsia"/>
                <w:color w:val="000000" w:themeColor="text1"/>
                <w:szCs w:val="21"/>
              </w:rPr>
              <w:t>A</w:t>
            </w:r>
          </w:p>
        </w:tc>
        <w:tc>
          <w:tcPr>
            <w:tcW w:w="624" w:type="dxa"/>
            <w:shd w:val="clear" w:color="auto" w:fill="auto"/>
          </w:tcPr>
          <w:p w:rsidR="00600CB9" w:rsidRDefault="00600CB9" w:rsidP="00D62E45">
            <w:pPr>
              <w:rPr>
                <w:rFonts w:ascii="ＭＳ Ｐ明朝" w:eastAsia="ＭＳ Ｐ明朝" w:hAnsi="ＭＳ Ｐ明朝"/>
                <w:color w:val="000000" w:themeColor="text1"/>
                <w:szCs w:val="21"/>
              </w:rPr>
            </w:pPr>
          </w:p>
          <w:p w:rsidR="00600CB9" w:rsidRDefault="00600CB9" w:rsidP="00D62E45">
            <w:pPr>
              <w:rPr>
                <w:rFonts w:ascii="ＭＳ Ｐ明朝" w:eastAsia="ＭＳ Ｐ明朝" w:hAnsi="ＭＳ Ｐ明朝"/>
                <w:color w:val="000000" w:themeColor="text1"/>
                <w:szCs w:val="21"/>
              </w:rPr>
            </w:pPr>
          </w:p>
          <w:p w:rsidR="00340200" w:rsidRPr="00980574" w:rsidRDefault="00340200" w:rsidP="00D62E45">
            <w:pPr>
              <w:rPr>
                <w:rFonts w:ascii="ＭＳ Ｐ明朝" w:eastAsia="ＭＳ Ｐ明朝" w:hAnsi="ＭＳ Ｐ明朝"/>
                <w:color w:val="FF0000"/>
                <w:szCs w:val="21"/>
              </w:rPr>
            </w:pPr>
            <w:bookmarkStart w:id="1" w:name="_GoBack"/>
            <w:bookmarkEnd w:id="1"/>
            <w:r w:rsidRPr="00762893">
              <w:rPr>
                <w:rFonts w:ascii="ＭＳ Ｐ明朝" w:eastAsia="ＭＳ Ｐ明朝" w:hAnsi="ＭＳ Ｐ明朝"/>
                <w:color w:val="000000" w:themeColor="text1"/>
                <w:szCs w:val="21"/>
              </w:rPr>
              <w:t>H</w:t>
            </w:r>
            <w:r w:rsidRPr="00762893">
              <w:rPr>
                <w:rFonts w:ascii="ＭＳ Ｐ明朝" w:eastAsia="ＭＳ Ｐ明朝" w:hAnsi="ＭＳ Ｐ明朝" w:hint="eastAsia"/>
                <w:color w:val="000000" w:themeColor="text1"/>
                <w:szCs w:val="21"/>
              </w:rPr>
              <w:t>31</w:t>
            </w:r>
            <w:r w:rsidRPr="00762893">
              <w:rPr>
                <w:rFonts w:ascii="ＭＳ Ｐ明朝" w:eastAsia="ＭＳ Ｐ明朝" w:hAnsi="ＭＳ Ｐ明朝"/>
                <w:color w:val="000000" w:themeColor="text1"/>
                <w:szCs w:val="21"/>
              </w:rPr>
              <w:t>～</w:t>
            </w:r>
            <w:r w:rsidRPr="00762893">
              <w:rPr>
                <w:rFonts w:ascii="ＭＳ Ｐ明朝" w:eastAsia="ＭＳ Ｐ明朝" w:hAnsi="ＭＳ Ｐ明朝" w:hint="eastAsia"/>
                <w:color w:val="000000" w:themeColor="text1"/>
                <w:szCs w:val="21"/>
              </w:rPr>
              <w:t>34</w:t>
            </w:r>
          </w:p>
        </w:tc>
        <w:tc>
          <w:tcPr>
            <w:tcW w:w="4932" w:type="dxa"/>
            <w:tcBorders>
              <w:right w:val="single" w:sz="12" w:space="0" w:color="auto"/>
            </w:tcBorders>
            <w:vAlign w:val="center"/>
          </w:tcPr>
          <w:p w:rsidR="00340200" w:rsidRPr="00762893" w:rsidRDefault="00340200" w:rsidP="00D62E45">
            <w:pPr>
              <w:spacing w:line="240" w:lineRule="exact"/>
              <w:rPr>
                <w:color w:val="000000" w:themeColor="text1"/>
              </w:rPr>
            </w:pPr>
            <w:r w:rsidRPr="00762893">
              <w:rPr>
                <w:rFonts w:hint="eastAsia"/>
                <w:color w:val="000000" w:themeColor="text1"/>
              </w:rPr>
              <w:t>・生酒の保存性については、県内メーカーの技術力と輸出国での流通の制約条件等を考慮し最適な条件について検討する。</w:t>
            </w:r>
          </w:p>
          <w:p w:rsidR="00340200" w:rsidRPr="00762893" w:rsidRDefault="00340200" w:rsidP="00D62E45">
            <w:pPr>
              <w:spacing w:line="240" w:lineRule="exact"/>
              <w:rPr>
                <w:color w:val="000000" w:themeColor="text1"/>
              </w:rPr>
            </w:pPr>
            <w:r w:rsidRPr="00762893">
              <w:rPr>
                <w:rFonts w:hint="eastAsia"/>
                <w:color w:val="000000" w:themeColor="text1"/>
              </w:rPr>
              <w:t>・生もとに適する乳酸菌の性質は、アルコール耐性が強くなく、発酵初期に乳酸を大量に生成するものが適している。</w:t>
            </w:r>
          </w:p>
          <w:p w:rsidR="00340200" w:rsidRPr="00980574" w:rsidRDefault="00340200" w:rsidP="00D62E45">
            <w:pPr>
              <w:spacing w:line="240" w:lineRule="exact"/>
              <w:rPr>
                <w:rFonts w:ascii="ＭＳ Ｐ明朝" w:eastAsia="ＭＳ Ｐ明朝" w:hAnsi="ＭＳ Ｐ明朝"/>
                <w:color w:val="FF0000"/>
                <w:szCs w:val="21"/>
              </w:rPr>
            </w:pPr>
            <w:r w:rsidRPr="00762893">
              <w:rPr>
                <w:rFonts w:hint="eastAsia"/>
                <w:color w:val="000000" w:themeColor="text1"/>
              </w:rPr>
              <w:t>・海外での県産清酒の競争力強化に向けて、輸出を考えている県内酒造会社の要望を受けて、本課題を設定している。</w:t>
            </w:r>
          </w:p>
        </w:tc>
      </w:tr>
      <w:tr w:rsidR="00340200" w:rsidRPr="00980574" w:rsidTr="00D62E45">
        <w:trPr>
          <w:trHeight w:val="1247"/>
        </w:trPr>
        <w:tc>
          <w:tcPr>
            <w:tcW w:w="642" w:type="dxa"/>
            <w:vMerge/>
            <w:tcBorders>
              <w:top w:val="nil"/>
              <w:left w:val="single" w:sz="12" w:space="0" w:color="auto"/>
              <w:bottom w:val="single" w:sz="12" w:space="0" w:color="auto"/>
            </w:tcBorders>
            <w:vAlign w:val="center"/>
          </w:tcPr>
          <w:p w:rsidR="00340200" w:rsidRPr="00980574" w:rsidRDefault="00340200" w:rsidP="00D62E45">
            <w:pPr>
              <w:jc w:val="left"/>
              <w:rPr>
                <w:rFonts w:ascii="ＭＳ Ｐ明朝" w:eastAsia="ＭＳ Ｐ明朝" w:hAnsi="ＭＳ Ｐ明朝"/>
                <w:color w:val="FF0000"/>
                <w:szCs w:val="21"/>
              </w:rPr>
            </w:pPr>
          </w:p>
        </w:tc>
        <w:tc>
          <w:tcPr>
            <w:tcW w:w="63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事</w:t>
            </w:r>
            <w:r w:rsidRPr="00762893">
              <w:rPr>
                <w:rFonts w:ascii="ＭＳ Ｐ明朝" w:eastAsia="ＭＳ Ｐ明朝" w:hAnsi="ＭＳ Ｐ明朝" w:hint="eastAsia"/>
                <w:color w:val="000000" w:themeColor="text1"/>
                <w:szCs w:val="21"/>
              </w:rPr>
              <w:t>後</w:t>
            </w:r>
          </w:p>
        </w:tc>
        <w:tc>
          <w:tcPr>
            <w:tcW w:w="2268" w:type="dxa"/>
            <w:tcBorders>
              <w:bottom w:val="single" w:sz="12" w:space="0" w:color="auto"/>
            </w:tcBorders>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地場産原料を利用した漬物製品の高品質化と新製品の開発</w:t>
            </w:r>
          </w:p>
        </w:tc>
        <w:tc>
          <w:tcPr>
            <w:tcW w:w="62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bottom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762893">
              <w:rPr>
                <w:rFonts w:ascii="ＭＳ Ｐ明朝" w:eastAsia="ＭＳ Ｐ明朝" w:hAnsi="ＭＳ Ｐ明朝" w:hint="eastAsia"/>
                <w:color w:val="000000" w:themeColor="text1"/>
                <w:szCs w:val="21"/>
              </w:rPr>
              <w:t>A</w:t>
            </w:r>
          </w:p>
        </w:tc>
        <w:tc>
          <w:tcPr>
            <w:tcW w:w="624" w:type="dxa"/>
            <w:tcBorders>
              <w:bottom w:val="single" w:sz="12" w:space="0" w:color="auto"/>
            </w:tcBorders>
            <w:shd w:val="clear" w:color="auto" w:fill="auto"/>
            <w:vAlign w:val="center"/>
          </w:tcPr>
          <w:p w:rsidR="00340200" w:rsidRPr="00762893" w:rsidRDefault="00340200" w:rsidP="00D62E45">
            <w:pPr>
              <w:rPr>
                <w:rFonts w:ascii="ＭＳ Ｐ明朝" w:eastAsia="ＭＳ Ｐ明朝" w:hAnsi="ＭＳ Ｐ明朝"/>
                <w:color w:val="000000" w:themeColor="text1"/>
                <w:szCs w:val="21"/>
              </w:rPr>
            </w:pPr>
            <w:r w:rsidRPr="00762893">
              <w:rPr>
                <w:rFonts w:ascii="ＭＳ Ｐ明朝" w:eastAsia="ＭＳ Ｐ明朝" w:hAnsi="ＭＳ Ｐ明朝"/>
                <w:color w:val="000000" w:themeColor="text1"/>
                <w:szCs w:val="21"/>
              </w:rPr>
              <w:t>H</w:t>
            </w:r>
            <w:r w:rsidRPr="00762893">
              <w:rPr>
                <w:rFonts w:ascii="ＭＳ Ｐ明朝" w:eastAsia="ＭＳ Ｐ明朝" w:hAnsi="ＭＳ Ｐ明朝" w:hint="eastAsia"/>
                <w:color w:val="000000" w:themeColor="text1"/>
                <w:szCs w:val="21"/>
              </w:rPr>
              <w:t>27</w:t>
            </w:r>
            <w:r w:rsidRPr="00762893">
              <w:rPr>
                <w:rFonts w:ascii="ＭＳ Ｐ明朝" w:eastAsia="ＭＳ Ｐ明朝" w:hAnsi="ＭＳ Ｐ明朝"/>
                <w:color w:val="000000" w:themeColor="text1"/>
                <w:szCs w:val="21"/>
              </w:rPr>
              <w:t>～</w:t>
            </w:r>
            <w:r w:rsidRPr="00762893">
              <w:rPr>
                <w:rFonts w:ascii="ＭＳ Ｐ明朝" w:eastAsia="ＭＳ Ｐ明朝" w:hAnsi="ＭＳ Ｐ明朝" w:hint="eastAsia"/>
                <w:color w:val="000000" w:themeColor="text1"/>
                <w:szCs w:val="21"/>
              </w:rPr>
              <w:t>29</w:t>
            </w:r>
          </w:p>
        </w:tc>
        <w:tc>
          <w:tcPr>
            <w:tcW w:w="4932" w:type="dxa"/>
            <w:tcBorders>
              <w:bottom w:val="single" w:sz="12" w:space="0" w:color="auto"/>
              <w:right w:val="single" w:sz="12" w:space="0" w:color="auto"/>
            </w:tcBorders>
            <w:vAlign w:val="center"/>
          </w:tcPr>
          <w:p w:rsidR="00340200" w:rsidRPr="00762893" w:rsidRDefault="00340200" w:rsidP="00D62E45">
            <w:pPr>
              <w:spacing w:line="240" w:lineRule="exact"/>
              <w:rPr>
                <w:color w:val="000000" w:themeColor="text1"/>
              </w:rPr>
            </w:pPr>
            <w:r w:rsidRPr="00762893">
              <w:rPr>
                <w:rFonts w:hint="eastAsia"/>
                <w:color w:val="000000" w:themeColor="text1"/>
              </w:rPr>
              <w:t>・製品開発はできたが、普及についてはこれからであるため、赤かぶ、玉ねぎについてそれぞれ南砺や砺波地域など、産地の加工グループなどを中心に普及する。</w:t>
            </w:r>
          </w:p>
          <w:p w:rsidR="00340200" w:rsidRPr="00762893" w:rsidRDefault="00340200" w:rsidP="00D62E45">
            <w:pPr>
              <w:spacing w:line="240" w:lineRule="exact"/>
              <w:rPr>
                <w:color w:val="000000" w:themeColor="text1"/>
              </w:rPr>
            </w:pPr>
            <w:r w:rsidRPr="00762893">
              <w:rPr>
                <w:rFonts w:hint="eastAsia"/>
                <w:color w:val="000000" w:themeColor="text1"/>
              </w:rPr>
              <w:t>・味については、評価会などにおいてアンケートを基に製造現場で調整する。</w:t>
            </w:r>
          </w:p>
          <w:p w:rsidR="00340200" w:rsidRPr="00762893" w:rsidRDefault="00340200" w:rsidP="00D62E45">
            <w:pPr>
              <w:spacing w:line="240" w:lineRule="exact"/>
              <w:rPr>
                <w:color w:val="000000" w:themeColor="text1"/>
              </w:rPr>
            </w:pPr>
            <w:r w:rsidRPr="00762893">
              <w:rPr>
                <w:rFonts w:hint="eastAsia"/>
                <w:color w:val="000000" w:themeColor="text1"/>
              </w:rPr>
              <w:t>・ケルセチンについては、大手企業が機能性成分として</w:t>
            </w:r>
            <w:r w:rsidRPr="00762893">
              <w:rPr>
                <w:rFonts w:hint="eastAsia"/>
                <w:color w:val="000000" w:themeColor="text1"/>
              </w:rPr>
              <w:t>PR</w:t>
            </w:r>
            <w:r w:rsidRPr="00762893">
              <w:rPr>
                <w:rFonts w:hint="eastAsia"/>
                <w:color w:val="000000" w:themeColor="text1"/>
              </w:rPr>
              <w:t>するなど、ある程度認知度は高いと考えており、本県の玉ねぎ製品についても</w:t>
            </w:r>
            <w:r w:rsidRPr="00762893">
              <w:rPr>
                <w:rFonts w:hint="eastAsia"/>
                <w:color w:val="000000" w:themeColor="text1"/>
              </w:rPr>
              <w:t>PR</w:t>
            </w:r>
            <w:r w:rsidRPr="00762893">
              <w:rPr>
                <w:rFonts w:hint="eastAsia"/>
                <w:color w:val="000000" w:themeColor="text1"/>
              </w:rPr>
              <w:t>に努める。</w:t>
            </w:r>
          </w:p>
        </w:tc>
      </w:tr>
      <w:tr w:rsidR="00340200" w:rsidRPr="00980574" w:rsidTr="00D62E45">
        <w:trPr>
          <w:trHeight w:val="473"/>
        </w:trPr>
        <w:tc>
          <w:tcPr>
            <w:tcW w:w="642" w:type="dxa"/>
            <w:vMerge w:val="restart"/>
            <w:tcBorders>
              <w:top w:val="single" w:sz="12" w:space="0" w:color="auto"/>
              <w:left w:val="single" w:sz="12" w:space="0" w:color="auto"/>
            </w:tcBorders>
            <w:vAlign w:val="center"/>
          </w:tcPr>
          <w:p w:rsidR="00340200" w:rsidRDefault="00340200" w:rsidP="00D62E45">
            <w:pPr>
              <w:jc w:val="left"/>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森林</w:t>
            </w:r>
          </w:p>
          <w:p w:rsidR="00340200" w:rsidRDefault="00340200" w:rsidP="00D62E4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r w:rsidRPr="00F53A55">
              <w:rPr>
                <w:rFonts w:ascii="ＭＳ Ｐ明朝" w:eastAsia="ＭＳ Ｐ明朝" w:hAnsi="ＭＳ Ｐ明朝" w:hint="eastAsia"/>
                <w:color w:val="000000" w:themeColor="text1"/>
                <w:szCs w:val="21"/>
              </w:rPr>
              <w:t>・</w:t>
            </w:r>
          </w:p>
          <w:p w:rsidR="00340200" w:rsidRDefault="00340200" w:rsidP="00D62E45">
            <w:pPr>
              <w:jc w:val="left"/>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木材部会</w:t>
            </w:r>
          </w:p>
          <w:p w:rsidR="00340200" w:rsidRPr="00980574" w:rsidRDefault="00340200" w:rsidP="00D62E45">
            <w:pPr>
              <w:jc w:val="left"/>
              <w:rPr>
                <w:rFonts w:ascii="ＭＳ Ｐ明朝" w:eastAsia="ＭＳ Ｐ明朝" w:hAnsi="ＭＳ Ｐ明朝"/>
                <w:color w:val="FF0000"/>
                <w:szCs w:val="21"/>
              </w:rPr>
            </w:pPr>
          </w:p>
        </w:tc>
        <w:tc>
          <w:tcPr>
            <w:tcW w:w="634" w:type="dxa"/>
            <w:tcBorders>
              <w:top w:val="single" w:sz="12" w:space="0" w:color="auto"/>
            </w:tcBorders>
            <w:vAlign w:val="center"/>
          </w:tcPr>
          <w:p w:rsidR="00340200" w:rsidRPr="00762893"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事前</w:t>
            </w:r>
          </w:p>
        </w:tc>
        <w:tc>
          <w:tcPr>
            <w:tcW w:w="2268" w:type="dxa"/>
            <w:tcBorders>
              <w:top w:val="single" w:sz="12" w:space="0" w:color="auto"/>
            </w:tcBorders>
            <w:vAlign w:val="center"/>
          </w:tcPr>
          <w:p w:rsidR="00340200" w:rsidRPr="00762893" w:rsidRDefault="00340200" w:rsidP="00D62E45">
            <w:pP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県産スギ材を使用したリフォーム用建築部材の開発</w:t>
            </w:r>
          </w:p>
        </w:tc>
        <w:tc>
          <w:tcPr>
            <w:tcW w:w="624" w:type="dxa"/>
            <w:tcBorders>
              <w:top w:val="single" w:sz="12" w:space="0" w:color="auto"/>
            </w:tcBorders>
            <w:vAlign w:val="center"/>
          </w:tcPr>
          <w:p w:rsidR="00340200" w:rsidRPr="00762893" w:rsidRDefault="00340200" w:rsidP="00D62E45">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tcBorders>
            <w:vAlign w:val="center"/>
          </w:tcPr>
          <w:p w:rsidR="00340200" w:rsidRPr="00762893" w:rsidRDefault="00340200" w:rsidP="00D62E45">
            <w:pPr>
              <w:jc w:val="center"/>
              <w:rPr>
                <w:color w:val="000000" w:themeColor="text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tcBorders>
            <w:shd w:val="clear" w:color="auto" w:fill="auto"/>
            <w:vAlign w:val="center"/>
          </w:tcPr>
          <w:p w:rsidR="00340200" w:rsidRPr="00762893" w:rsidRDefault="00340200" w:rsidP="00D62E45">
            <w:pPr>
              <w:rPr>
                <w:color w:val="000000" w:themeColor="text1"/>
              </w:rPr>
            </w:pPr>
            <w:r w:rsidRPr="00F53A55">
              <w:rPr>
                <w:rFonts w:ascii="ＭＳ Ｐ明朝" w:eastAsia="ＭＳ Ｐ明朝" w:hAnsi="ＭＳ Ｐ明朝"/>
                <w:color w:val="000000" w:themeColor="text1"/>
                <w:szCs w:val="21"/>
              </w:rPr>
              <w:t>H</w:t>
            </w:r>
            <w:r w:rsidRPr="00F53A55">
              <w:rPr>
                <w:rFonts w:ascii="ＭＳ Ｐ明朝" w:eastAsia="ＭＳ Ｐ明朝" w:hAnsi="ＭＳ Ｐ明朝" w:hint="eastAsia"/>
                <w:color w:val="000000" w:themeColor="text1"/>
                <w:szCs w:val="21"/>
              </w:rPr>
              <w:t>31</w:t>
            </w:r>
            <w:r w:rsidRPr="00F53A55">
              <w:rPr>
                <w:rFonts w:ascii="ＭＳ Ｐ明朝" w:eastAsia="ＭＳ Ｐ明朝" w:hAnsi="ＭＳ Ｐ明朝"/>
                <w:color w:val="000000" w:themeColor="text1"/>
                <w:szCs w:val="21"/>
              </w:rPr>
              <w:t>～</w:t>
            </w:r>
            <w:r w:rsidRPr="00F53A55">
              <w:rPr>
                <w:rFonts w:ascii="ＭＳ Ｐ明朝" w:eastAsia="ＭＳ Ｐ明朝" w:hAnsi="ＭＳ Ｐ明朝" w:hint="eastAsia"/>
                <w:color w:val="000000" w:themeColor="text1"/>
                <w:szCs w:val="21"/>
              </w:rPr>
              <w:t>33</w:t>
            </w:r>
          </w:p>
        </w:tc>
        <w:tc>
          <w:tcPr>
            <w:tcW w:w="4932" w:type="dxa"/>
            <w:tcBorders>
              <w:top w:val="single" w:sz="12" w:space="0" w:color="auto"/>
              <w:right w:val="single" w:sz="12" w:space="0" w:color="auto"/>
            </w:tcBorders>
            <w:vAlign w:val="center"/>
          </w:tcPr>
          <w:p w:rsidR="00340200" w:rsidRPr="00762893" w:rsidRDefault="00340200" w:rsidP="00D62E45">
            <w:pPr>
              <w:spacing w:line="240" w:lineRule="exact"/>
              <w:rPr>
                <w:color w:val="000000" w:themeColor="text1"/>
              </w:rPr>
            </w:pPr>
            <w:r w:rsidRPr="00F53A55">
              <w:rPr>
                <w:rFonts w:hint="eastAsia"/>
                <w:color w:val="000000" w:themeColor="text1"/>
              </w:rPr>
              <w:t>川上から川下（市場、消費者）までの理解を得て、連携した一貫システムとして構築していくことが望ましい。意匠・デザインについては専門家の協力を仰ぎ、研究については木質材料としての性能を具体的に重視して、性能と施工方法を専門家向けて、県産スギ材を利用したリフォーム用建築エレメント</w:t>
            </w:r>
            <w:r w:rsidRPr="00F53A55">
              <w:rPr>
                <w:rFonts w:hint="eastAsia"/>
                <w:color w:val="000000" w:themeColor="text1"/>
              </w:rPr>
              <w:t>(</w:t>
            </w:r>
            <w:r w:rsidRPr="00F53A55">
              <w:rPr>
                <w:rFonts w:hint="eastAsia"/>
                <w:color w:val="000000" w:themeColor="text1"/>
              </w:rPr>
              <w:t>部品</w:t>
            </w:r>
            <w:r w:rsidRPr="00F53A55">
              <w:rPr>
                <w:rFonts w:hint="eastAsia"/>
                <w:color w:val="000000" w:themeColor="text1"/>
              </w:rPr>
              <w:t xml:space="preserve">) </w:t>
            </w:r>
            <w:r w:rsidRPr="00F53A55">
              <w:rPr>
                <w:rFonts w:hint="eastAsia"/>
                <w:color w:val="000000" w:themeColor="text1"/>
              </w:rPr>
              <w:t>として提示できるようにする。また、リフォームの対象を具体的に、例えば、町屋などに絞って機能・価格等も考慮して研究開発に当たる。</w:t>
            </w:r>
          </w:p>
        </w:tc>
      </w:tr>
      <w:tr w:rsidR="00340200" w:rsidRPr="00980574" w:rsidTr="00D62E45">
        <w:trPr>
          <w:trHeight w:val="347"/>
        </w:trPr>
        <w:tc>
          <w:tcPr>
            <w:tcW w:w="642" w:type="dxa"/>
            <w:vMerge/>
            <w:tcBorders>
              <w:left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p>
        </w:tc>
        <w:tc>
          <w:tcPr>
            <w:tcW w:w="634" w:type="dxa"/>
            <w:vAlign w:val="center"/>
          </w:tcPr>
          <w:p w:rsidR="00340200" w:rsidRPr="00762893"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事</w:t>
            </w:r>
            <w:r w:rsidRPr="00F53A55">
              <w:rPr>
                <w:rFonts w:ascii="ＭＳ Ｐ明朝" w:eastAsia="ＭＳ Ｐ明朝" w:hAnsi="ＭＳ Ｐ明朝" w:hint="eastAsia"/>
                <w:color w:val="000000" w:themeColor="text1"/>
                <w:szCs w:val="21"/>
              </w:rPr>
              <w:t>後</w:t>
            </w:r>
          </w:p>
        </w:tc>
        <w:tc>
          <w:tcPr>
            <w:tcW w:w="2268" w:type="dxa"/>
            <w:vAlign w:val="center"/>
          </w:tcPr>
          <w:p w:rsidR="00340200" w:rsidRPr="00762893" w:rsidRDefault="00340200" w:rsidP="00D62E45">
            <w:pP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里山における機能性きのこカワラタケの栽培技術の開発</w:t>
            </w:r>
          </w:p>
        </w:tc>
        <w:tc>
          <w:tcPr>
            <w:tcW w:w="624" w:type="dxa"/>
            <w:vAlign w:val="center"/>
          </w:tcPr>
          <w:p w:rsidR="00340200" w:rsidRPr="00762893"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vAlign w:val="center"/>
          </w:tcPr>
          <w:p w:rsidR="00340200" w:rsidRPr="00762893" w:rsidRDefault="00340200" w:rsidP="00D62E45">
            <w:pPr>
              <w:jc w:val="center"/>
              <w:rPr>
                <w:rFonts w:ascii="ＭＳ Ｐ明朝" w:eastAsia="ＭＳ Ｐ明朝" w:hAnsi="ＭＳ Ｐ明朝"/>
                <w:color w:val="000000" w:themeColor="text1"/>
                <w:szCs w:val="21"/>
              </w:rPr>
            </w:pPr>
            <w:r w:rsidRPr="00F53A55">
              <w:rPr>
                <w:rFonts w:ascii="ＭＳ Ｐ明朝" w:eastAsia="ＭＳ Ｐ明朝" w:hAnsi="ＭＳ Ｐ明朝" w:hint="eastAsia"/>
                <w:color w:val="000000" w:themeColor="text1"/>
                <w:szCs w:val="21"/>
              </w:rPr>
              <w:t>A</w:t>
            </w:r>
          </w:p>
        </w:tc>
        <w:tc>
          <w:tcPr>
            <w:tcW w:w="624" w:type="dxa"/>
            <w:shd w:val="clear" w:color="auto" w:fill="auto"/>
            <w:vAlign w:val="center"/>
          </w:tcPr>
          <w:p w:rsidR="00340200" w:rsidRPr="00762893" w:rsidRDefault="00340200" w:rsidP="00D62E45">
            <w:pPr>
              <w:rPr>
                <w:rFonts w:ascii="ＭＳ Ｐ明朝" w:eastAsia="ＭＳ Ｐ明朝" w:hAnsi="ＭＳ Ｐ明朝"/>
                <w:color w:val="000000" w:themeColor="text1"/>
                <w:szCs w:val="21"/>
              </w:rPr>
            </w:pPr>
            <w:r w:rsidRPr="00F53A55">
              <w:rPr>
                <w:rFonts w:ascii="ＭＳ Ｐ明朝" w:eastAsia="ＭＳ Ｐ明朝" w:hAnsi="ＭＳ Ｐ明朝"/>
                <w:color w:val="000000" w:themeColor="text1"/>
                <w:szCs w:val="21"/>
              </w:rPr>
              <w:t>H</w:t>
            </w:r>
            <w:r w:rsidRPr="00F53A55">
              <w:rPr>
                <w:rFonts w:ascii="ＭＳ Ｐ明朝" w:eastAsia="ＭＳ Ｐ明朝" w:hAnsi="ＭＳ Ｐ明朝" w:hint="eastAsia"/>
                <w:color w:val="000000" w:themeColor="text1"/>
                <w:szCs w:val="21"/>
              </w:rPr>
              <w:t>27</w:t>
            </w:r>
            <w:r w:rsidRPr="00F53A55">
              <w:rPr>
                <w:rFonts w:ascii="ＭＳ Ｐ明朝" w:eastAsia="ＭＳ Ｐ明朝" w:hAnsi="ＭＳ Ｐ明朝"/>
                <w:color w:val="000000" w:themeColor="text1"/>
                <w:szCs w:val="21"/>
              </w:rPr>
              <w:t>～</w:t>
            </w:r>
            <w:r w:rsidRPr="00F53A55">
              <w:rPr>
                <w:rFonts w:ascii="ＭＳ Ｐ明朝" w:eastAsia="ＭＳ Ｐ明朝" w:hAnsi="ＭＳ Ｐ明朝" w:hint="eastAsia"/>
                <w:color w:val="000000" w:themeColor="text1"/>
                <w:szCs w:val="21"/>
              </w:rPr>
              <w:t>29</w:t>
            </w:r>
          </w:p>
        </w:tc>
        <w:tc>
          <w:tcPr>
            <w:tcW w:w="4932" w:type="dxa"/>
            <w:tcBorders>
              <w:right w:val="single" w:sz="12" w:space="0" w:color="auto"/>
            </w:tcBorders>
            <w:vAlign w:val="center"/>
          </w:tcPr>
          <w:p w:rsidR="00340200" w:rsidRPr="00762893" w:rsidRDefault="00340200" w:rsidP="00D62E45">
            <w:pPr>
              <w:spacing w:line="240" w:lineRule="exact"/>
              <w:rPr>
                <w:color w:val="000000" w:themeColor="text1"/>
              </w:rPr>
            </w:pPr>
            <w:r w:rsidRPr="00F53A55">
              <w:rPr>
                <w:rFonts w:hint="eastAsia"/>
                <w:color w:val="000000" w:themeColor="text1"/>
              </w:rPr>
              <w:t>普及用のマニュアルなどを通して、カワラタケの資源利用、残材処理技術とともに、爪楊枝を使った種駒作成など簡便、安価な生産方法の普及をはかり、地域での実用化、定着や産業としての可能性を検討していく。</w:t>
            </w:r>
          </w:p>
        </w:tc>
      </w:tr>
      <w:tr w:rsidR="00340200" w:rsidRPr="00980574" w:rsidTr="00D62E45">
        <w:trPr>
          <w:trHeight w:val="70"/>
        </w:trPr>
        <w:tc>
          <w:tcPr>
            <w:tcW w:w="642" w:type="dxa"/>
            <w:vMerge/>
            <w:tcBorders>
              <w:left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p>
        </w:tc>
        <w:tc>
          <w:tcPr>
            <w:tcW w:w="634" w:type="dxa"/>
            <w:tcBorders>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事後</w:t>
            </w:r>
          </w:p>
        </w:tc>
        <w:tc>
          <w:tcPr>
            <w:tcW w:w="2268" w:type="dxa"/>
            <w:vAlign w:val="center"/>
          </w:tcPr>
          <w:p w:rsidR="00340200" w:rsidRPr="00980574" w:rsidRDefault="00340200" w:rsidP="00D62E45">
            <w:pP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大径材の構造利用技術の開発</w:t>
            </w:r>
          </w:p>
        </w:tc>
        <w:tc>
          <w:tcPr>
            <w:tcW w:w="624" w:type="dxa"/>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shd w:val="clear" w:color="auto" w:fill="auto"/>
            <w:vAlign w:val="center"/>
          </w:tcPr>
          <w:p w:rsidR="00340200" w:rsidRPr="00980574" w:rsidRDefault="00340200" w:rsidP="00D62E45">
            <w:pPr>
              <w:rPr>
                <w:rFonts w:ascii="ＭＳ Ｐ明朝" w:eastAsia="ＭＳ Ｐ明朝" w:hAnsi="ＭＳ Ｐ明朝"/>
                <w:color w:val="FF0000"/>
                <w:szCs w:val="21"/>
              </w:rPr>
            </w:pPr>
            <w:r w:rsidRPr="00F53A55">
              <w:rPr>
                <w:rFonts w:ascii="ＭＳ Ｐ明朝" w:eastAsia="ＭＳ Ｐ明朝" w:hAnsi="ＭＳ Ｐ明朝"/>
                <w:color w:val="000000" w:themeColor="text1"/>
                <w:szCs w:val="21"/>
              </w:rPr>
              <w:t>H</w:t>
            </w:r>
            <w:r w:rsidRPr="00F53A55">
              <w:rPr>
                <w:rFonts w:ascii="ＭＳ Ｐ明朝" w:eastAsia="ＭＳ Ｐ明朝" w:hAnsi="ＭＳ Ｐ明朝" w:hint="eastAsia"/>
                <w:color w:val="000000" w:themeColor="text1"/>
                <w:szCs w:val="21"/>
              </w:rPr>
              <w:t>27</w:t>
            </w:r>
            <w:r w:rsidRPr="00F53A55">
              <w:rPr>
                <w:rFonts w:ascii="ＭＳ Ｐ明朝" w:eastAsia="ＭＳ Ｐ明朝" w:hAnsi="ＭＳ Ｐ明朝"/>
                <w:color w:val="000000" w:themeColor="text1"/>
                <w:szCs w:val="21"/>
              </w:rPr>
              <w:t>～2</w:t>
            </w:r>
            <w:r w:rsidRPr="00F53A55">
              <w:rPr>
                <w:rFonts w:ascii="ＭＳ Ｐ明朝" w:eastAsia="ＭＳ Ｐ明朝" w:hAnsi="ＭＳ Ｐ明朝" w:hint="eastAsia"/>
                <w:color w:val="000000" w:themeColor="text1"/>
                <w:szCs w:val="21"/>
              </w:rPr>
              <w:t>9</w:t>
            </w:r>
          </w:p>
        </w:tc>
        <w:tc>
          <w:tcPr>
            <w:tcW w:w="4932" w:type="dxa"/>
            <w:tcBorders>
              <w:right w:val="single" w:sz="12" w:space="0" w:color="auto"/>
            </w:tcBorders>
            <w:vAlign w:val="center"/>
          </w:tcPr>
          <w:p w:rsidR="00340200" w:rsidRPr="00980574" w:rsidRDefault="00340200" w:rsidP="00D62E45">
            <w:pPr>
              <w:spacing w:line="240" w:lineRule="exact"/>
              <w:rPr>
                <w:color w:val="FF0000"/>
              </w:rPr>
            </w:pPr>
            <w:r w:rsidRPr="00F53A55">
              <w:rPr>
                <w:rFonts w:hint="eastAsia"/>
                <w:color w:val="000000" w:themeColor="text1"/>
              </w:rPr>
              <w:t>成果の普及について早急に取り組み、広く活用してもらうことにより、県産材の利用拡大につなげてほしい。さらに、実践的な場面へ切り込んで行くことで、得られたデータを活用できる製材システムの構築や、中規模の木造建築物を建造するなど、実証的な展開へ進むべく現場とのタイアップについても検討することで、ボカスギの伐採集積から利用までの良い循環ができるように取り組んでいく。</w:t>
            </w:r>
          </w:p>
        </w:tc>
      </w:tr>
      <w:tr w:rsidR="00340200" w:rsidRPr="00980574" w:rsidTr="00D62E45">
        <w:trPr>
          <w:trHeight w:val="1174"/>
        </w:trPr>
        <w:tc>
          <w:tcPr>
            <w:tcW w:w="642" w:type="dxa"/>
            <w:tcBorders>
              <w:top w:val="single" w:sz="12" w:space="0" w:color="auto"/>
              <w:left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水産部会</w:t>
            </w:r>
          </w:p>
        </w:tc>
        <w:tc>
          <w:tcPr>
            <w:tcW w:w="634" w:type="dxa"/>
            <w:tcBorders>
              <w:top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事前</w:t>
            </w:r>
          </w:p>
        </w:tc>
        <w:tc>
          <w:tcPr>
            <w:tcW w:w="2268" w:type="dxa"/>
            <w:tcBorders>
              <w:top w:val="single" w:sz="12" w:space="0" w:color="auto"/>
              <w:bottom w:val="single" w:sz="12" w:space="0" w:color="auto"/>
            </w:tcBorders>
            <w:vAlign w:val="center"/>
          </w:tcPr>
          <w:p w:rsidR="00340200" w:rsidRPr="00980574" w:rsidRDefault="00340200" w:rsidP="00D62E45">
            <w:pP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キジハタ漁場整備調査研究</w:t>
            </w:r>
          </w:p>
        </w:tc>
        <w:tc>
          <w:tcPr>
            <w:tcW w:w="624" w:type="dxa"/>
            <w:tcBorders>
              <w:top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bottom w:val="single" w:sz="12" w:space="0" w:color="auto"/>
            </w:tcBorders>
            <w:vAlign w:val="center"/>
          </w:tcPr>
          <w:p w:rsidR="00340200" w:rsidRPr="00980574" w:rsidRDefault="00340200" w:rsidP="00D62E45">
            <w:pPr>
              <w:jc w:val="center"/>
              <w:rPr>
                <w:rFonts w:ascii="ＭＳ Ｐ明朝" w:eastAsia="ＭＳ Ｐ明朝" w:hAnsi="ＭＳ Ｐ明朝"/>
                <w:color w:val="FF0000"/>
                <w:szCs w:val="21"/>
              </w:rPr>
            </w:pPr>
            <w:r w:rsidRPr="00F53A55">
              <w:rPr>
                <w:rFonts w:ascii="ＭＳ Ｐ明朝" w:eastAsia="ＭＳ Ｐ明朝" w:hAnsi="ＭＳ Ｐ明朝" w:hint="eastAsia"/>
                <w:color w:val="000000" w:themeColor="text1"/>
                <w:szCs w:val="21"/>
              </w:rPr>
              <w:t>A</w:t>
            </w:r>
          </w:p>
        </w:tc>
        <w:tc>
          <w:tcPr>
            <w:tcW w:w="624" w:type="dxa"/>
            <w:tcBorders>
              <w:top w:val="single" w:sz="12" w:space="0" w:color="auto"/>
              <w:bottom w:val="single" w:sz="12" w:space="0" w:color="auto"/>
            </w:tcBorders>
            <w:shd w:val="clear" w:color="auto" w:fill="auto"/>
            <w:vAlign w:val="center"/>
          </w:tcPr>
          <w:p w:rsidR="00340200" w:rsidRPr="00980574" w:rsidRDefault="00340200" w:rsidP="00D62E45">
            <w:pPr>
              <w:rPr>
                <w:rFonts w:ascii="ＭＳ Ｐ明朝" w:eastAsia="ＭＳ Ｐ明朝" w:hAnsi="ＭＳ Ｐ明朝"/>
                <w:color w:val="FF0000"/>
                <w:szCs w:val="21"/>
              </w:rPr>
            </w:pPr>
            <w:r w:rsidRPr="00F53A55">
              <w:rPr>
                <w:rFonts w:ascii="ＭＳ Ｐ明朝" w:eastAsia="ＭＳ Ｐ明朝" w:hAnsi="ＭＳ Ｐ明朝"/>
                <w:color w:val="000000" w:themeColor="text1"/>
                <w:szCs w:val="21"/>
              </w:rPr>
              <w:t>H</w:t>
            </w:r>
            <w:r w:rsidRPr="00F53A55">
              <w:rPr>
                <w:rFonts w:ascii="ＭＳ Ｐ明朝" w:eastAsia="ＭＳ Ｐ明朝" w:hAnsi="ＭＳ Ｐ明朝" w:hint="eastAsia"/>
                <w:color w:val="000000" w:themeColor="text1"/>
                <w:szCs w:val="21"/>
              </w:rPr>
              <w:t>31</w:t>
            </w:r>
            <w:r w:rsidRPr="00F53A55">
              <w:rPr>
                <w:rFonts w:ascii="ＭＳ Ｐ明朝" w:eastAsia="ＭＳ Ｐ明朝" w:hAnsi="ＭＳ Ｐ明朝"/>
                <w:color w:val="000000" w:themeColor="text1"/>
                <w:szCs w:val="21"/>
              </w:rPr>
              <w:t>～</w:t>
            </w:r>
            <w:r w:rsidRPr="00F53A55">
              <w:rPr>
                <w:rFonts w:ascii="ＭＳ Ｐ明朝" w:eastAsia="ＭＳ Ｐ明朝" w:hAnsi="ＭＳ Ｐ明朝" w:hint="eastAsia"/>
                <w:color w:val="000000" w:themeColor="text1"/>
                <w:szCs w:val="21"/>
              </w:rPr>
              <w:t>32</w:t>
            </w:r>
          </w:p>
        </w:tc>
        <w:tc>
          <w:tcPr>
            <w:tcW w:w="4932" w:type="dxa"/>
            <w:tcBorders>
              <w:top w:val="single" w:sz="12" w:space="0" w:color="auto"/>
              <w:bottom w:val="single" w:sz="12" w:space="0" w:color="auto"/>
              <w:right w:val="single" w:sz="12" w:space="0" w:color="auto"/>
            </w:tcBorders>
            <w:vAlign w:val="center"/>
          </w:tcPr>
          <w:p w:rsidR="00340200" w:rsidRPr="00F53A55" w:rsidRDefault="00340200" w:rsidP="00D62E45">
            <w:pPr>
              <w:spacing w:line="240" w:lineRule="exact"/>
              <w:rPr>
                <w:color w:val="000000" w:themeColor="text1"/>
              </w:rPr>
            </w:pPr>
            <w:r w:rsidRPr="00F53A55">
              <w:rPr>
                <w:rFonts w:hint="eastAsia"/>
                <w:color w:val="000000" w:themeColor="text1"/>
              </w:rPr>
              <w:t>・</w:t>
            </w:r>
            <w:r w:rsidRPr="00F53A55">
              <w:rPr>
                <w:rFonts w:hint="eastAsia"/>
                <w:color w:val="000000" w:themeColor="text1"/>
              </w:rPr>
              <w:t xml:space="preserve"> </w:t>
            </w:r>
            <w:r w:rsidRPr="00F53A55">
              <w:rPr>
                <w:rFonts w:hint="eastAsia"/>
                <w:color w:val="000000" w:themeColor="text1"/>
              </w:rPr>
              <w:t>超音波発信機を用いた行動追跡調査では、受信機の設置場所や放流場所についてよく考慮し、放流魚の行動範囲や移動を詳しく解明できるようデータをとる。</w:t>
            </w:r>
          </w:p>
          <w:p w:rsidR="00340200" w:rsidRPr="00F53A55" w:rsidRDefault="00340200" w:rsidP="00D62E45">
            <w:pPr>
              <w:spacing w:line="240" w:lineRule="exact"/>
              <w:rPr>
                <w:color w:val="000000" w:themeColor="text1"/>
              </w:rPr>
            </w:pPr>
            <w:r w:rsidRPr="00F53A55">
              <w:rPr>
                <w:color w:val="000000" w:themeColor="text1"/>
              </w:rPr>
              <w:t xml:space="preserve"> </w:t>
            </w:r>
            <w:r w:rsidRPr="00F53A55">
              <w:rPr>
                <w:rFonts w:hint="eastAsia"/>
                <w:color w:val="000000" w:themeColor="text1"/>
              </w:rPr>
              <w:t>放流魚と並行して成魚の生息状況や漁場、漁獲条件についても調査したい。</w:t>
            </w:r>
          </w:p>
          <w:p w:rsidR="00340200" w:rsidRPr="00980574" w:rsidRDefault="00340200" w:rsidP="00D62E45">
            <w:pPr>
              <w:spacing w:line="240" w:lineRule="exact"/>
              <w:rPr>
                <w:color w:val="FF0000"/>
              </w:rPr>
            </w:pPr>
            <w:r w:rsidRPr="00F53A55">
              <w:rPr>
                <w:rFonts w:hint="eastAsia"/>
                <w:color w:val="000000" w:themeColor="text1"/>
              </w:rPr>
              <w:t>・</w:t>
            </w:r>
            <w:r w:rsidRPr="00F53A55">
              <w:rPr>
                <w:rFonts w:hint="eastAsia"/>
                <w:color w:val="000000" w:themeColor="text1"/>
              </w:rPr>
              <w:t xml:space="preserve"> 33</w:t>
            </w:r>
            <w:r w:rsidRPr="00F53A55">
              <w:rPr>
                <w:rFonts w:hint="eastAsia"/>
                <w:color w:val="000000" w:themeColor="text1"/>
              </w:rPr>
              <w:t>年度以降も漁場整備や放流効果に関連する研究を継続的に行いたいと考えている。</w:t>
            </w:r>
          </w:p>
        </w:tc>
      </w:tr>
    </w:tbl>
    <w:p w:rsidR="00CB6D2B" w:rsidRPr="00340200" w:rsidRDefault="00CB6D2B" w:rsidP="00B41B14">
      <w:pPr>
        <w:spacing w:line="280" w:lineRule="exact"/>
        <w:rPr>
          <w:rFonts w:ascii="ＭＳ ゴシック" w:eastAsia="ＭＳ ゴシック" w:hAnsi="ＭＳ ゴシック"/>
          <w:b/>
          <w:color w:val="000000" w:themeColor="text1"/>
          <w:sz w:val="24"/>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評価の区分</w:t>
      </w:r>
    </w:p>
    <w:p w:rsidR="00B41B14" w:rsidRPr="00145BA9" w:rsidRDefault="00B41B14" w:rsidP="00B41B14">
      <w:pPr>
        <w:spacing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（１）事前評価：新規に実施しようとする課題について、必要性や貢献可能性、研究内容が適切であるか等について予算要求前に評価を行う。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（２）中間評価：原則として５年以上の期間にわたる課題について、原則として開始後３年目毎に試験研究の進捗状況、社会情勢の変化等を踏まえ、研究内容が適切であるか等について評価を行う。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（３）事後評価：試験研究が終了した課題について、原則として終了年度にその研究成果について評価を行う。</w:t>
      </w:r>
    </w:p>
    <w:p w:rsidR="00B41B14" w:rsidRPr="00145BA9" w:rsidRDefault="00B41B14" w:rsidP="00C41BFD">
      <w:pPr>
        <w:spacing w:beforeLines="30" w:before="103" w:line="320" w:lineRule="exact"/>
        <w:ind w:left="1782" w:hangingChars="800" w:hanging="1782"/>
        <w:rPr>
          <w:rFonts w:ascii="ＭＳ 明朝"/>
          <w:color w:val="000000" w:themeColor="text1"/>
          <w:sz w:val="24"/>
        </w:rPr>
      </w:pPr>
      <w:r w:rsidRPr="00145BA9">
        <w:rPr>
          <w:rFonts w:ascii="ＭＳ 明朝" w:cs="ＭＳ 明朝" w:hint="eastAsia"/>
          <w:color w:val="000000" w:themeColor="text1"/>
          <w:sz w:val="24"/>
        </w:rPr>
        <w:t>（４）追跡評価：試験研究が終了した課題について、終了後数年後にその研究成果の普及状況や貢献度について評価を行う。</w:t>
      </w:r>
    </w:p>
    <w:p w:rsidR="00B41B14" w:rsidRPr="00145BA9" w:rsidRDefault="00B41B14" w:rsidP="00B41B14">
      <w:pPr>
        <w:spacing w:line="404" w:lineRule="exact"/>
        <w:ind w:left="1932" w:hanging="1932"/>
        <w:rPr>
          <w:rFonts w:ascii="ＭＳ 明朝" w:cs="ＭＳ 明朝"/>
          <w:color w:val="000000" w:themeColor="text1"/>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部会・外部委員会評価における評価基準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01"/>
        <w:gridCol w:w="2101"/>
        <w:gridCol w:w="2292"/>
        <w:gridCol w:w="495"/>
        <w:gridCol w:w="1985"/>
      </w:tblGrid>
      <w:tr w:rsidR="00145BA9" w:rsidRPr="00145BA9" w:rsidTr="00CF0AD4">
        <w:trPr>
          <w:trHeight w:hRule="exact" w:val="397"/>
        </w:trPr>
        <w:tc>
          <w:tcPr>
            <w:tcW w:w="490" w:type="dxa"/>
            <w:vAlign w:val="center"/>
          </w:tcPr>
          <w:p w:rsidR="00B41B14" w:rsidRPr="00145BA9" w:rsidRDefault="00B41B14" w:rsidP="00FB2B2D">
            <w:pPr>
              <w:spacing w:line="240" w:lineRule="exact"/>
              <w:rPr>
                <w:color w:val="000000" w:themeColor="text1"/>
                <w:sz w:val="22"/>
              </w:rPr>
            </w:pPr>
          </w:p>
        </w:tc>
        <w:tc>
          <w:tcPr>
            <w:tcW w:w="2101" w:type="dxa"/>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事前評価</w:t>
            </w:r>
          </w:p>
        </w:tc>
        <w:tc>
          <w:tcPr>
            <w:tcW w:w="2101" w:type="dxa"/>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中間評価</w:t>
            </w:r>
          </w:p>
        </w:tc>
        <w:tc>
          <w:tcPr>
            <w:tcW w:w="2292" w:type="dxa"/>
            <w:tcBorders>
              <w:right w:val="doub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事後評価</w:t>
            </w:r>
          </w:p>
        </w:tc>
        <w:tc>
          <w:tcPr>
            <w:tcW w:w="2480" w:type="dxa"/>
            <w:gridSpan w:val="2"/>
            <w:tcBorders>
              <w:left w:val="doub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追跡評価</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A</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優れている</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優れている</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優れた成果が得られた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a</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貢献度は高い</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B</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妥当</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妥当</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良好な成果が得られた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b</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貢献度は妥当</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C</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部分的見直しが必要</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部分的見直しが必要</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予定された成果にはやや至らなかった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c</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貢献度はやや低い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D</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全面的見直しが必要</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全面的見直しが必要</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それほどの成果が得られなかった</w:t>
            </w:r>
          </w:p>
        </w:tc>
        <w:tc>
          <w:tcPr>
            <w:tcW w:w="495" w:type="dxa"/>
            <w:tcBorders>
              <w:left w:val="double" w:sz="4" w:space="0" w:color="auto"/>
              <w:bottom w:val="sing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d</w:t>
            </w:r>
          </w:p>
        </w:tc>
        <w:tc>
          <w:tcPr>
            <w:tcW w:w="1985" w:type="dxa"/>
            <w:tcBorders>
              <w:left w:val="single" w:sz="4" w:space="0" w:color="auto"/>
              <w:bottom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E</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実施せず</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中止</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成果が得られなかった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e</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貢献度は非常に低い</w:t>
            </w:r>
          </w:p>
        </w:tc>
      </w:tr>
    </w:tbl>
    <w:p w:rsidR="00B41B14" w:rsidRPr="00145BA9" w:rsidRDefault="00B41B14">
      <w:pPr>
        <w:rPr>
          <w:rFonts w:ascii="ＭＳ Ｐ明朝" w:eastAsia="ＭＳ Ｐ明朝" w:hAnsi="ＭＳ Ｐ明朝"/>
          <w:b/>
          <w:color w:val="000000" w:themeColor="text1"/>
          <w:szCs w:val="21"/>
        </w:rPr>
      </w:pPr>
    </w:p>
    <w:sectPr w:rsidR="00B41B14" w:rsidRPr="00145BA9" w:rsidSect="00A64362">
      <w:pgSz w:w="11906" w:h="16838" w:code="9"/>
      <w:pgMar w:top="567" w:right="707" w:bottom="426" w:left="851"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B4" w:rsidRDefault="00675DB4" w:rsidP="000F5E4B">
      <w:r>
        <w:separator/>
      </w:r>
    </w:p>
  </w:endnote>
  <w:endnote w:type="continuationSeparator" w:id="0">
    <w:p w:rsidR="00675DB4" w:rsidRDefault="00675DB4" w:rsidP="000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B4" w:rsidRDefault="00675DB4" w:rsidP="000F5E4B">
      <w:r>
        <w:separator/>
      </w:r>
    </w:p>
  </w:footnote>
  <w:footnote w:type="continuationSeparator" w:id="0">
    <w:p w:rsidR="00675DB4" w:rsidRDefault="00675DB4" w:rsidP="000F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E99"/>
    <w:multiLevelType w:val="hybridMultilevel"/>
    <w:tmpl w:val="1522F920"/>
    <w:lvl w:ilvl="0" w:tplc="D6A05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3261C"/>
    <w:multiLevelType w:val="hybridMultilevel"/>
    <w:tmpl w:val="06BCD288"/>
    <w:lvl w:ilvl="0" w:tplc="B3323C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2425C9"/>
    <w:multiLevelType w:val="hybridMultilevel"/>
    <w:tmpl w:val="9B907EBE"/>
    <w:lvl w:ilvl="0" w:tplc="94A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A68"/>
    <w:multiLevelType w:val="hybridMultilevel"/>
    <w:tmpl w:val="337478B0"/>
    <w:lvl w:ilvl="0" w:tplc="D3B21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62408"/>
    <w:multiLevelType w:val="hybridMultilevel"/>
    <w:tmpl w:val="BFBE5F48"/>
    <w:lvl w:ilvl="0" w:tplc="4348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3F4262"/>
    <w:multiLevelType w:val="hybridMultilevel"/>
    <w:tmpl w:val="E9A282B4"/>
    <w:lvl w:ilvl="0" w:tplc="0B18F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673"/>
    <w:multiLevelType w:val="hybridMultilevel"/>
    <w:tmpl w:val="E4C640D0"/>
    <w:lvl w:ilvl="0" w:tplc="B792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05190"/>
    <w:multiLevelType w:val="hybridMultilevel"/>
    <w:tmpl w:val="06B6CBEE"/>
    <w:lvl w:ilvl="0" w:tplc="20DAB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060E96"/>
    <w:multiLevelType w:val="hybridMultilevel"/>
    <w:tmpl w:val="4D50794C"/>
    <w:lvl w:ilvl="0" w:tplc="980EC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0566E8"/>
    <w:multiLevelType w:val="hybridMultilevel"/>
    <w:tmpl w:val="D8C83398"/>
    <w:lvl w:ilvl="0" w:tplc="AF32A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C7D3A"/>
    <w:multiLevelType w:val="hybridMultilevel"/>
    <w:tmpl w:val="55FAE752"/>
    <w:lvl w:ilvl="0" w:tplc="7592D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422A0"/>
    <w:multiLevelType w:val="hybridMultilevel"/>
    <w:tmpl w:val="70D4057E"/>
    <w:lvl w:ilvl="0" w:tplc="AF18A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67CD2"/>
    <w:multiLevelType w:val="hybridMultilevel"/>
    <w:tmpl w:val="2FA07A0C"/>
    <w:lvl w:ilvl="0" w:tplc="534A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E4D86"/>
    <w:multiLevelType w:val="hybridMultilevel"/>
    <w:tmpl w:val="63D07CEE"/>
    <w:lvl w:ilvl="0" w:tplc="EFF2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80F6C"/>
    <w:multiLevelType w:val="hybridMultilevel"/>
    <w:tmpl w:val="F00804D6"/>
    <w:lvl w:ilvl="0" w:tplc="5106A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34C9D"/>
    <w:multiLevelType w:val="hybridMultilevel"/>
    <w:tmpl w:val="5716794C"/>
    <w:lvl w:ilvl="0" w:tplc="9A8A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BE4FE1"/>
    <w:multiLevelType w:val="hybridMultilevel"/>
    <w:tmpl w:val="B1881C1E"/>
    <w:lvl w:ilvl="0" w:tplc="575E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94410"/>
    <w:multiLevelType w:val="hybridMultilevel"/>
    <w:tmpl w:val="F5405656"/>
    <w:lvl w:ilvl="0" w:tplc="94784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81DB1"/>
    <w:multiLevelType w:val="hybridMultilevel"/>
    <w:tmpl w:val="1AE05EF2"/>
    <w:lvl w:ilvl="0" w:tplc="2C9A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B6CC1"/>
    <w:multiLevelType w:val="hybridMultilevel"/>
    <w:tmpl w:val="E286C59E"/>
    <w:lvl w:ilvl="0" w:tplc="317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91598"/>
    <w:multiLevelType w:val="hybridMultilevel"/>
    <w:tmpl w:val="24F884D0"/>
    <w:lvl w:ilvl="0" w:tplc="705CF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4F47"/>
    <w:multiLevelType w:val="hybridMultilevel"/>
    <w:tmpl w:val="89341DB2"/>
    <w:lvl w:ilvl="0" w:tplc="CDB40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C1354"/>
    <w:multiLevelType w:val="hybridMultilevel"/>
    <w:tmpl w:val="E2BA8634"/>
    <w:lvl w:ilvl="0" w:tplc="CC00A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B0047"/>
    <w:multiLevelType w:val="hybridMultilevel"/>
    <w:tmpl w:val="13DEAF50"/>
    <w:lvl w:ilvl="0" w:tplc="88A2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766C"/>
    <w:multiLevelType w:val="hybridMultilevel"/>
    <w:tmpl w:val="8DB00888"/>
    <w:lvl w:ilvl="0" w:tplc="30FCA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3F3D"/>
    <w:multiLevelType w:val="hybridMultilevel"/>
    <w:tmpl w:val="BD00314C"/>
    <w:lvl w:ilvl="0" w:tplc="C82CC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F4E28"/>
    <w:multiLevelType w:val="hybridMultilevel"/>
    <w:tmpl w:val="64F43C76"/>
    <w:lvl w:ilvl="0" w:tplc="3BC8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7229C"/>
    <w:multiLevelType w:val="hybridMultilevel"/>
    <w:tmpl w:val="181071AC"/>
    <w:lvl w:ilvl="0" w:tplc="C4A8E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32C66"/>
    <w:multiLevelType w:val="hybridMultilevel"/>
    <w:tmpl w:val="0AD63442"/>
    <w:lvl w:ilvl="0" w:tplc="38FC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9504D"/>
    <w:multiLevelType w:val="hybridMultilevel"/>
    <w:tmpl w:val="29760936"/>
    <w:lvl w:ilvl="0" w:tplc="FD2E7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E5CB2"/>
    <w:multiLevelType w:val="hybridMultilevel"/>
    <w:tmpl w:val="84EA975A"/>
    <w:lvl w:ilvl="0" w:tplc="FA72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6"/>
  </w:num>
  <w:num w:numId="3">
    <w:abstractNumId w:val="30"/>
  </w:num>
  <w:num w:numId="4">
    <w:abstractNumId w:val="1"/>
  </w:num>
  <w:num w:numId="5">
    <w:abstractNumId w:val="13"/>
  </w:num>
  <w:num w:numId="6">
    <w:abstractNumId w:val="23"/>
  </w:num>
  <w:num w:numId="7">
    <w:abstractNumId w:val="27"/>
  </w:num>
  <w:num w:numId="8">
    <w:abstractNumId w:val="7"/>
  </w:num>
  <w:num w:numId="9">
    <w:abstractNumId w:val="21"/>
  </w:num>
  <w:num w:numId="10">
    <w:abstractNumId w:val="19"/>
  </w:num>
  <w:num w:numId="11">
    <w:abstractNumId w:val="0"/>
  </w:num>
  <w:num w:numId="12">
    <w:abstractNumId w:val="28"/>
  </w:num>
  <w:num w:numId="13">
    <w:abstractNumId w:val="20"/>
  </w:num>
  <w:num w:numId="14">
    <w:abstractNumId w:val="3"/>
  </w:num>
  <w:num w:numId="15">
    <w:abstractNumId w:val="17"/>
  </w:num>
  <w:num w:numId="16">
    <w:abstractNumId w:val="12"/>
  </w:num>
  <w:num w:numId="17">
    <w:abstractNumId w:val="18"/>
  </w:num>
  <w:num w:numId="18">
    <w:abstractNumId w:val="8"/>
  </w:num>
  <w:num w:numId="19">
    <w:abstractNumId w:val="9"/>
  </w:num>
  <w:num w:numId="20">
    <w:abstractNumId w:val="10"/>
  </w:num>
  <w:num w:numId="21">
    <w:abstractNumId w:val="29"/>
  </w:num>
  <w:num w:numId="22">
    <w:abstractNumId w:val="4"/>
  </w:num>
  <w:num w:numId="23">
    <w:abstractNumId w:val="16"/>
  </w:num>
  <w:num w:numId="24">
    <w:abstractNumId w:val="2"/>
  </w:num>
  <w:num w:numId="25">
    <w:abstractNumId w:val="14"/>
  </w:num>
  <w:num w:numId="26">
    <w:abstractNumId w:val="6"/>
  </w:num>
  <w:num w:numId="27">
    <w:abstractNumId w:val="22"/>
  </w:num>
  <w:num w:numId="28">
    <w:abstractNumId w:val="11"/>
  </w:num>
  <w:num w:numId="29">
    <w:abstractNumId w:val="25"/>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A"/>
    <w:rsid w:val="000230FE"/>
    <w:rsid w:val="000262F7"/>
    <w:rsid w:val="00035FAC"/>
    <w:rsid w:val="00037841"/>
    <w:rsid w:val="00043E5E"/>
    <w:rsid w:val="00045097"/>
    <w:rsid w:val="0006290C"/>
    <w:rsid w:val="0007396E"/>
    <w:rsid w:val="00074D8F"/>
    <w:rsid w:val="0007699A"/>
    <w:rsid w:val="00095FD0"/>
    <w:rsid w:val="000A1389"/>
    <w:rsid w:val="000C0790"/>
    <w:rsid w:val="000C0B72"/>
    <w:rsid w:val="000E136E"/>
    <w:rsid w:val="000E55F3"/>
    <w:rsid w:val="000F0B2E"/>
    <w:rsid w:val="000F1F64"/>
    <w:rsid w:val="000F45E3"/>
    <w:rsid w:val="000F56F2"/>
    <w:rsid w:val="000F5E4B"/>
    <w:rsid w:val="001212F9"/>
    <w:rsid w:val="00134A23"/>
    <w:rsid w:val="00145BA9"/>
    <w:rsid w:val="00146D6E"/>
    <w:rsid w:val="00161CCF"/>
    <w:rsid w:val="001628ED"/>
    <w:rsid w:val="00170921"/>
    <w:rsid w:val="0017513C"/>
    <w:rsid w:val="001869FB"/>
    <w:rsid w:val="00192D64"/>
    <w:rsid w:val="001B37E1"/>
    <w:rsid w:val="001B43FE"/>
    <w:rsid w:val="001B51A0"/>
    <w:rsid w:val="001B742B"/>
    <w:rsid w:val="001C4FB7"/>
    <w:rsid w:val="001D382F"/>
    <w:rsid w:val="001E54C3"/>
    <w:rsid w:val="001E7839"/>
    <w:rsid w:val="001F0341"/>
    <w:rsid w:val="001F16C4"/>
    <w:rsid w:val="001F2A8D"/>
    <w:rsid w:val="001F533A"/>
    <w:rsid w:val="001F6B7A"/>
    <w:rsid w:val="00205D61"/>
    <w:rsid w:val="00210247"/>
    <w:rsid w:val="002173AD"/>
    <w:rsid w:val="002205DE"/>
    <w:rsid w:val="00221AD0"/>
    <w:rsid w:val="0026498B"/>
    <w:rsid w:val="002653A9"/>
    <w:rsid w:val="00265AED"/>
    <w:rsid w:val="00273367"/>
    <w:rsid w:val="00285CD3"/>
    <w:rsid w:val="002864C5"/>
    <w:rsid w:val="0028764F"/>
    <w:rsid w:val="00295AB4"/>
    <w:rsid w:val="002A14F8"/>
    <w:rsid w:val="002B3DBE"/>
    <w:rsid w:val="002C75E6"/>
    <w:rsid w:val="002E224A"/>
    <w:rsid w:val="002E437D"/>
    <w:rsid w:val="002E7A49"/>
    <w:rsid w:val="002F5E69"/>
    <w:rsid w:val="00300110"/>
    <w:rsid w:val="003024F4"/>
    <w:rsid w:val="003029A3"/>
    <w:rsid w:val="00304FC7"/>
    <w:rsid w:val="00306C27"/>
    <w:rsid w:val="003177FF"/>
    <w:rsid w:val="0032500D"/>
    <w:rsid w:val="00325433"/>
    <w:rsid w:val="0033577F"/>
    <w:rsid w:val="00340200"/>
    <w:rsid w:val="0034379D"/>
    <w:rsid w:val="00351EC3"/>
    <w:rsid w:val="00357D23"/>
    <w:rsid w:val="00363F3E"/>
    <w:rsid w:val="0037095F"/>
    <w:rsid w:val="00371D28"/>
    <w:rsid w:val="00380E7F"/>
    <w:rsid w:val="00385492"/>
    <w:rsid w:val="003905F2"/>
    <w:rsid w:val="003A6789"/>
    <w:rsid w:val="003B0043"/>
    <w:rsid w:val="003B2BFC"/>
    <w:rsid w:val="003B3004"/>
    <w:rsid w:val="003C0BCE"/>
    <w:rsid w:val="003C37A0"/>
    <w:rsid w:val="003C3DF4"/>
    <w:rsid w:val="003C53B2"/>
    <w:rsid w:val="003D5357"/>
    <w:rsid w:val="003E1F7A"/>
    <w:rsid w:val="003E531F"/>
    <w:rsid w:val="003F48CF"/>
    <w:rsid w:val="003F58BD"/>
    <w:rsid w:val="00412B2F"/>
    <w:rsid w:val="00413C7D"/>
    <w:rsid w:val="00415B33"/>
    <w:rsid w:val="004203E1"/>
    <w:rsid w:val="00420808"/>
    <w:rsid w:val="0043066D"/>
    <w:rsid w:val="00434F73"/>
    <w:rsid w:val="00436F9A"/>
    <w:rsid w:val="00437CAA"/>
    <w:rsid w:val="00441CD4"/>
    <w:rsid w:val="0044233F"/>
    <w:rsid w:val="0044334F"/>
    <w:rsid w:val="00445614"/>
    <w:rsid w:val="00447CF8"/>
    <w:rsid w:val="00450386"/>
    <w:rsid w:val="00453A14"/>
    <w:rsid w:val="00453E4C"/>
    <w:rsid w:val="0047127D"/>
    <w:rsid w:val="00482B14"/>
    <w:rsid w:val="004844C3"/>
    <w:rsid w:val="00490C42"/>
    <w:rsid w:val="004A260B"/>
    <w:rsid w:val="004A6C43"/>
    <w:rsid w:val="004C14B2"/>
    <w:rsid w:val="004E01CC"/>
    <w:rsid w:val="004E1DCA"/>
    <w:rsid w:val="004E1EA0"/>
    <w:rsid w:val="004F0852"/>
    <w:rsid w:val="004F7CFD"/>
    <w:rsid w:val="00514895"/>
    <w:rsid w:val="00522DE5"/>
    <w:rsid w:val="00526E02"/>
    <w:rsid w:val="00527244"/>
    <w:rsid w:val="00527D7B"/>
    <w:rsid w:val="00536895"/>
    <w:rsid w:val="0054635C"/>
    <w:rsid w:val="005467AA"/>
    <w:rsid w:val="00554CF5"/>
    <w:rsid w:val="00561F7F"/>
    <w:rsid w:val="00574453"/>
    <w:rsid w:val="00575BFC"/>
    <w:rsid w:val="00577F6A"/>
    <w:rsid w:val="005813FE"/>
    <w:rsid w:val="00582232"/>
    <w:rsid w:val="00584A69"/>
    <w:rsid w:val="0059171A"/>
    <w:rsid w:val="0059202B"/>
    <w:rsid w:val="005A5AE7"/>
    <w:rsid w:val="005C00C5"/>
    <w:rsid w:val="005C3605"/>
    <w:rsid w:val="005C3BDB"/>
    <w:rsid w:val="005D6B89"/>
    <w:rsid w:val="005E58DA"/>
    <w:rsid w:val="005E58F4"/>
    <w:rsid w:val="00600C82"/>
    <w:rsid w:val="00600CB9"/>
    <w:rsid w:val="00607F02"/>
    <w:rsid w:val="006159CE"/>
    <w:rsid w:val="00621091"/>
    <w:rsid w:val="0062271E"/>
    <w:rsid w:val="006325D0"/>
    <w:rsid w:val="00635DC2"/>
    <w:rsid w:val="00647E6B"/>
    <w:rsid w:val="00655263"/>
    <w:rsid w:val="00656AEB"/>
    <w:rsid w:val="00664EE0"/>
    <w:rsid w:val="006721DF"/>
    <w:rsid w:val="00675DB4"/>
    <w:rsid w:val="00684961"/>
    <w:rsid w:val="00685522"/>
    <w:rsid w:val="006861F7"/>
    <w:rsid w:val="00691B6A"/>
    <w:rsid w:val="00694D20"/>
    <w:rsid w:val="00694F3D"/>
    <w:rsid w:val="006A3C0B"/>
    <w:rsid w:val="006B2A29"/>
    <w:rsid w:val="006C3D00"/>
    <w:rsid w:val="006C51DA"/>
    <w:rsid w:val="006D24E6"/>
    <w:rsid w:val="006F2A64"/>
    <w:rsid w:val="006F3996"/>
    <w:rsid w:val="00702157"/>
    <w:rsid w:val="0070383F"/>
    <w:rsid w:val="007053E6"/>
    <w:rsid w:val="0071438C"/>
    <w:rsid w:val="00740372"/>
    <w:rsid w:val="00746FE4"/>
    <w:rsid w:val="00750AAE"/>
    <w:rsid w:val="00751789"/>
    <w:rsid w:val="00757847"/>
    <w:rsid w:val="00762893"/>
    <w:rsid w:val="007723E4"/>
    <w:rsid w:val="00781B7A"/>
    <w:rsid w:val="007A246A"/>
    <w:rsid w:val="007A2A3C"/>
    <w:rsid w:val="007C3854"/>
    <w:rsid w:val="007C3C51"/>
    <w:rsid w:val="007D11AA"/>
    <w:rsid w:val="007D3E99"/>
    <w:rsid w:val="007D6487"/>
    <w:rsid w:val="007E3685"/>
    <w:rsid w:val="007F0ECF"/>
    <w:rsid w:val="007F4A1B"/>
    <w:rsid w:val="00810734"/>
    <w:rsid w:val="0081223B"/>
    <w:rsid w:val="0081383D"/>
    <w:rsid w:val="00820AEB"/>
    <w:rsid w:val="00832F1E"/>
    <w:rsid w:val="008349DB"/>
    <w:rsid w:val="00840FB7"/>
    <w:rsid w:val="00855134"/>
    <w:rsid w:val="00876332"/>
    <w:rsid w:val="00880A43"/>
    <w:rsid w:val="00890CAE"/>
    <w:rsid w:val="00893F29"/>
    <w:rsid w:val="008A0D00"/>
    <w:rsid w:val="008A2C2D"/>
    <w:rsid w:val="008B1E34"/>
    <w:rsid w:val="008D0989"/>
    <w:rsid w:val="008D26E1"/>
    <w:rsid w:val="008D39B8"/>
    <w:rsid w:val="008D7EE3"/>
    <w:rsid w:val="008E3639"/>
    <w:rsid w:val="008F1AF0"/>
    <w:rsid w:val="008F3B72"/>
    <w:rsid w:val="0090389F"/>
    <w:rsid w:val="00904E04"/>
    <w:rsid w:val="00906CAB"/>
    <w:rsid w:val="00907161"/>
    <w:rsid w:val="00933BD3"/>
    <w:rsid w:val="00936930"/>
    <w:rsid w:val="00940338"/>
    <w:rsid w:val="0094662D"/>
    <w:rsid w:val="00960EF9"/>
    <w:rsid w:val="009641B5"/>
    <w:rsid w:val="00980574"/>
    <w:rsid w:val="00984E24"/>
    <w:rsid w:val="00991E0F"/>
    <w:rsid w:val="00992D6D"/>
    <w:rsid w:val="009B7958"/>
    <w:rsid w:val="009C2E72"/>
    <w:rsid w:val="009C724F"/>
    <w:rsid w:val="009D0BC0"/>
    <w:rsid w:val="009D26CB"/>
    <w:rsid w:val="009F6013"/>
    <w:rsid w:val="00A21476"/>
    <w:rsid w:val="00A33446"/>
    <w:rsid w:val="00A34017"/>
    <w:rsid w:val="00A4388C"/>
    <w:rsid w:val="00A43C00"/>
    <w:rsid w:val="00A51A41"/>
    <w:rsid w:val="00A55B42"/>
    <w:rsid w:val="00A61487"/>
    <w:rsid w:val="00A64362"/>
    <w:rsid w:val="00A70EAD"/>
    <w:rsid w:val="00A758E1"/>
    <w:rsid w:val="00A82F1D"/>
    <w:rsid w:val="00A839EC"/>
    <w:rsid w:val="00A93FD2"/>
    <w:rsid w:val="00A949EA"/>
    <w:rsid w:val="00A972EA"/>
    <w:rsid w:val="00AB3FA9"/>
    <w:rsid w:val="00AB7AE1"/>
    <w:rsid w:val="00AC3C9B"/>
    <w:rsid w:val="00AD7FD6"/>
    <w:rsid w:val="00AE26AC"/>
    <w:rsid w:val="00AE334B"/>
    <w:rsid w:val="00AE4D93"/>
    <w:rsid w:val="00AE619B"/>
    <w:rsid w:val="00AF2CD7"/>
    <w:rsid w:val="00AF50CA"/>
    <w:rsid w:val="00B03DEB"/>
    <w:rsid w:val="00B12A67"/>
    <w:rsid w:val="00B13B5B"/>
    <w:rsid w:val="00B14A3C"/>
    <w:rsid w:val="00B21270"/>
    <w:rsid w:val="00B22454"/>
    <w:rsid w:val="00B22507"/>
    <w:rsid w:val="00B27DFF"/>
    <w:rsid w:val="00B31BE5"/>
    <w:rsid w:val="00B36480"/>
    <w:rsid w:val="00B4084F"/>
    <w:rsid w:val="00B40C47"/>
    <w:rsid w:val="00B41B14"/>
    <w:rsid w:val="00B422B9"/>
    <w:rsid w:val="00B46279"/>
    <w:rsid w:val="00B56BF5"/>
    <w:rsid w:val="00B60307"/>
    <w:rsid w:val="00B77970"/>
    <w:rsid w:val="00B77F5B"/>
    <w:rsid w:val="00B84FDD"/>
    <w:rsid w:val="00B86858"/>
    <w:rsid w:val="00B87E8C"/>
    <w:rsid w:val="00B92F10"/>
    <w:rsid w:val="00BA430F"/>
    <w:rsid w:val="00BB1378"/>
    <w:rsid w:val="00BB1C9E"/>
    <w:rsid w:val="00BB591B"/>
    <w:rsid w:val="00BC41E7"/>
    <w:rsid w:val="00BE1271"/>
    <w:rsid w:val="00BE265A"/>
    <w:rsid w:val="00BE390B"/>
    <w:rsid w:val="00BE6678"/>
    <w:rsid w:val="00C0230E"/>
    <w:rsid w:val="00C030F5"/>
    <w:rsid w:val="00C03175"/>
    <w:rsid w:val="00C05C5C"/>
    <w:rsid w:val="00C153B1"/>
    <w:rsid w:val="00C16982"/>
    <w:rsid w:val="00C17239"/>
    <w:rsid w:val="00C202C6"/>
    <w:rsid w:val="00C21A0B"/>
    <w:rsid w:val="00C27441"/>
    <w:rsid w:val="00C375F5"/>
    <w:rsid w:val="00C41BFD"/>
    <w:rsid w:val="00C42FD4"/>
    <w:rsid w:val="00C46872"/>
    <w:rsid w:val="00C50CA7"/>
    <w:rsid w:val="00C64985"/>
    <w:rsid w:val="00C72A7B"/>
    <w:rsid w:val="00C92FB6"/>
    <w:rsid w:val="00C977E2"/>
    <w:rsid w:val="00CA1A62"/>
    <w:rsid w:val="00CA4345"/>
    <w:rsid w:val="00CB61CA"/>
    <w:rsid w:val="00CB6D2B"/>
    <w:rsid w:val="00CC1D59"/>
    <w:rsid w:val="00CC477D"/>
    <w:rsid w:val="00CC4FE6"/>
    <w:rsid w:val="00CC7B03"/>
    <w:rsid w:val="00CD2D2D"/>
    <w:rsid w:val="00CD76F1"/>
    <w:rsid w:val="00CF197F"/>
    <w:rsid w:val="00CF2FA6"/>
    <w:rsid w:val="00CF3BE0"/>
    <w:rsid w:val="00D01332"/>
    <w:rsid w:val="00D03225"/>
    <w:rsid w:val="00D05A9E"/>
    <w:rsid w:val="00D12E32"/>
    <w:rsid w:val="00D14F4A"/>
    <w:rsid w:val="00D16F47"/>
    <w:rsid w:val="00D23E0E"/>
    <w:rsid w:val="00D4100F"/>
    <w:rsid w:val="00D54612"/>
    <w:rsid w:val="00D549D3"/>
    <w:rsid w:val="00D5606C"/>
    <w:rsid w:val="00D60336"/>
    <w:rsid w:val="00D70719"/>
    <w:rsid w:val="00D84F95"/>
    <w:rsid w:val="00D872FB"/>
    <w:rsid w:val="00D941F2"/>
    <w:rsid w:val="00DA00B9"/>
    <w:rsid w:val="00DA0692"/>
    <w:rsid w:val="00DB602F"/>
    <w:rsid w:val="00DD0956"/>
    <w:rsid w:val="00DD4C3B"/>
    <w:rsid w:val="00DE14B9"/>
    <w:rsid w:val="00DE55E9"/>
    <w:rsid w:val="00DF2CB6"/>
    <w:rsid w:val="00E17692"/>
    <w:rsid w:val="00E269D4"/>
    <w:rsid w:val="00E272D3"/>
    <w:rsid w:val="00E3009F"/>
    <w:rsid w:val="00E308ED"/>
    <w:rsid w:val="00E3213A"/>
    <w:rsid w:val="00E41199"/>
    <w:rsid w:val="00E42C14"/>
    <w:rsid w:val="00E46E7C"/>
    <w:rsid w:val="00E6609D"/>
    <w:rsid w:val="00E67C15"/>
    <w:rsid w:val="00E708A0"/>
    <w:rsid w:val="00EA7548"/>
    <w:rsid w:val="00EA7A9B"/>
    <w:rsid w:val="00EC5BF7"/>
    <w:rsid w:val="00EC6FF8"/>
    <w:rsid w:val="00ED0A72"/>
    <w:rsid w:val="00ED38C7"/>
    <w:rsid w:val="00ED414B"/>
    <w:rsid w:val="00ED5D6A"/>
    <w:rsid w:val="00ED63A0"/>
    <w:rsid w:val="00EF1DC3"/>
    <w:rsid w:val="00EF2EF2"/>
    <w:rsid w:val="00EF550F"/>
    <w:rsid w:val="00F226C1"/>
    <w:rsid w:val="00F24740"/>
    <w:rsid w:val="00F322D8"/>
    <w:rsid w:val="00F33E8B"/>
    <w:rsid w:val="00F40F0A"/>
    <w:rsid w:val="00F41BAF"/>
    <w:rsid w:val="00F43422"/>
    <w:rsid w:val="00F441ED"/>
    <w:rsid w:val="00F50DD1"/>
    <w:rsid w:val="00F53A55"/>
    <w:rsid w:val="00F610B0"/>
    <w:rsid w:val="00F6657B"/>
    <w:rsid w:val="00F665F9"/>
    <w:rsid w:val="00F66D8D"/>
    <w:rsid w:val="00F70E6A"/>
    <w:rsid w:val="00F73BA0"/>
    <w:rsid w:val="00F74B50"/>
    <w:rsid w:val="00F74E14"/>
    <w:rsid w:val="00F75D4A"/>
    <w:rsid w:val="00F87097"/>
    <w:rsid w:val="00F8753D"/>
    <w:rsid w:val="00F877A9"/>
    <w:rsid w:val="00FA2FB3"/>
    <w:rsid w:val="00FA50BD"/>
    <w:rsid w:val="00FA6596"/>
    <w:rsid w:val="00FA705E"/>
    <w:rsid w:val="00FB7AAE"/>
    <w:rsid w:val="00FB7E8C"/>
    <w:rsid w:val="00FE1F54"/>
    <w:rsid w:val="00FE3709"/>
    <w:rsid w:val="00FF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B1D192"/>
  <w15:docId w15:val="{056EDD18-681C-4D5F-A7BE-E4CA6522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50DD1"/>
    <w:pPr>
      <w:overflowPunct w:val="0"/>
      <w:spacing w:line="404" w:lineRule="exact"/>
      <w:ind w:left="242" w:hanging="242"/>
      <w:textAlignment w:val="baseline"/>
    </w:pPr>
    <w:rPr>
      <w:rFonts w:ascii="Times New Roman" w:hAnsi="Times New Roman"/>
      <w:color w:val="000000"/>
      <w:kern w:val="0"/>
      <w:sz w:val="24"/>
    </w:rPr>
  </w:style>
  <w:style w:type="paragraph" w:styleId="a4">
    <w:name w:val="header"/>
    <w:basedOn w:val="a"/>
    <w:link w:val="a5"/>
    <w:rsid w:val="000F5E4B"/>
    <w:pPr>
      <w:tabs>
        <w:tab w:val="center" w:pos="4252"/>
        <w:tab w:val="right" w:pos="8504"/>
      </w:tabs>
      <w:snapToGrid w:val="0"/>
    </w:pPr>
    <w:rPr>
      <w:lang w:val="x-none" w:eastAsia="x-none"/>
    </w:rPr>
  </w:style>
  <w:style w:type="character" w:customStyle="1" w:styleId="a5">
    <w:name w:val="ヘッダー (文字)"/>
    <w:link w:val="a4"/>
    <w:rsid w:val="000F5E4B"/>
    <w:rPr>
      <w:kern w:val="2"/>
      <w:sz w:val="21"/>
      <w:szCs w:val="24"/>
    </w:rPr>
  </w:style>
  <w:style w:type="paragraph" w:styleId="a6">
    <w:name w:val="footer"/>
    <w:basedOn w:val="a"/>
    <w:link w:val="a7"/>
    <w:rsid w:val="000F5E4B"/>
    <w:pPr>
      <w:tabs>
        <w:tab w:val="center" w:pos="4252"/>
        <w:tab w:val="right" w:pos="8504"/>
      </w:tabs>
      <w:snapToGrid w:val="0"/>
    </w:pPr>
    <w:rPr>
      <w:lang w:val="x-none" w:eastAsia="x-none"/>
    </w:rPr>
  </w:style>
  <w:style w:type="character" w:customStyle="1" w:styleId="a7">
    <w:name w:val="フッター (文字)"/>
    <w:link w:val="a6"/>
    <w:rsid w:val="000F5E4B"/>
    <w:rPr>
      <w:kern w:val="2"/>
      <w:sz w:val="21"/>
      <w:szCs w:val="24"/>
    </w:rPr>
  </w:style>
  <w:style w:type="paragraph" w:styleId="a8">
    <w:name w:val="Balloon Text"/>
    <w:basedOn w:val="a"/>
    <w:link w:val="a9"/>
    <w:rsid w:val="00AF2CD7"/>
    <w:rPr>
      <w:rFonts w:asciiTheme="majorHAnsi" w:eastAsiaTheme="majorEastAsia" w:hAnsiTheme="majorHAnsi" w:cstheme="majorBidi"/>
      <w:sz w:val="18"/>
      <w:szCs w:val="18"/>
    </w:rPr>
  </w:style>
  <w:style w:type="character" w:customStyle="1" w:styleId="a9">
    <w:name w:val="吹き出し (文字)"/>
    <w:basedOn w:val="a0"/>
    <w:link w:val="a8"/>
    <w:rsid w:val="00AF2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CF0B-EA1A-47F1-AB2D-8E2D0A2B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3386</Words>
  <Characters>340</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Ｈ21試験研究評価課題一覧</vt:lpstr>
      <vt:lpstr>Ｈ21試験研究評価課題一覧</vt:lpstr>
    </vt:vector>
  </TitlesOfParts>
  <Company>富山県</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Ｈ21試験研究評価課題一覧</dc:title>
  <dc:creator>農技センタ企画情報</dc:creator>
  <cp:lastModifiedBy>富山県</cp:lastModifiedBy>
  <cp:revision>7</cp:revision>
  <cp:lastPrinted>2016-01-18T09:03:00Z</cp:lastPrinted>
  <dcterms:created xsi:type="dcterms:W3CDTF">2019-03-22T02:12:00Z</dcterms:created>
  <dcterms:modified xsi:type="dcterms:W3CDTF">2019-03-22T05:38:00Z</dcterms:modified>
</cp:coreProperties>
</file>